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15FCE" w14:textId="3B9C2C3B" w:rsidR="000B2D26" w:rsidRDefault="008636C8" w:rsidP="00EB7D2E">
      <w:pPr>
        <w:spacing w:line="240" w:lineRule="auto"/>
        <w:rPr>
          <w:rFonts w:ascii="Times New Roman" w:hAnsi="Times New Roman" w:cs="Times New Roman"/>
          <w:b/>
          <w:sz w:val="28"/>
          <w:szCs w:val="24"/>
        </w:rPr>
      </w:pPr>
      <w:r>
        <w:rPr>
          <w:rFonts w:ascii="Times New Roman" w:hAnsi="Times New Roman" w:cs="Times New Roman"/>
          <w:b/>
          <w:sz w:val="28"/>
          <w:szCs w:val="24"/>
        </w:rPr>
        <w:t>R</w:t>
      </w:r>
      <w:r w:rsidR="00F714BB" w:rsidRPr="00305E37">
        <w:rPr>
          <w:rFonts w:ascii="Times New Roman" w:hAnsi="Times New Roman" w:cs="Times New Roman"/>
          <w:b/>
          <w:sz w:val="28"/>
          <w:szCs w:val="24"/>
        </w:rPr>
        <w:t xml:space="preserve">isques de pollution environnementale par </w:t>
      </w:r>
      <w:r w:rsidR="00313DE9">
        <w:rPr>
          <w:rFonts w:ascii="Times New Roman" w:hAnsi="Times New Roman" w:cs="Times New Roman"/>
          <w:b/>
          <w:sz w:val="28"/>
          <w:szCs w:val="24"/>
        </w:rPr>
        <w:t>l’utilisation des</w:t>
      </w:r>
      <w:r w:rsidR="00F714BB" w:rsidRPr="00305E37">
        <w:rPr>
          <w:rFonts w:ascii="Times New Roman" w:hAnsi="Times New Roman" w:cs="Times New Roman"/>
          <w:b/>
          <w:sz w:val="28"/>
          <w:szCs w:val="24"/>
        </w:rPr>
        <w:t xml:space="preserve"> pesticides</w:t>
      </w:r>
      <w:r w:rsidR="00313DE9">
        <w:rPr>
          <w:rFonts w:ascii="Times New Roman" w:hAnsi="Times New Roman" w:cs="Times New Roman"/>
          <w:b/>
          <w:sz w:val="28"/>
          <w:szCs w:val="24"/>
        </w:rPr>
        <w:t xml:space="preserve"> en maraîchage</w:t>
      </w:r>
      <w:r w:rsidR="00F714BB" w:rsidRPr="00305E37">
        <w:rPr>
          <w:rFonts w:ascii="Times New Roman" w:hAnsi="Times New Roman" w:cs="Times New Roman"/>
          <w:b/>
          <w:sz w:val="28"/>
          <w:szCs w:val="24"/>
        </w:rPr>
        <w:t xml:space="preserve"> : cas de</w:t>
      </w:r>
      <w:r w:rsidR="00313DE9">
        <w:rPr>
          <w:rFonts w:ascii="Times New Roman" w:hAnsi="Times New Roman" w:cs="Times New Roman"/>
          <w:b/>
          <w:sz w:val="28"/>
          <w:szCs w:val="24"/>
        </w:rPr>
        <w:t>s</w:t>
      </w:r>
      <w:r w:rsidR="00F714BB" w:rsidRPr="00305E37">
        <w:rPr>
          <w:rFonts w:ascii="Times New Roman" w:hAnsi="Times New Roman" w:cs="Times New Roman"/>
          <w:b/>
          <w:sz w:val="28"/>
          <w:szCs w:val="24"/>
        </w:rPr>
        <w:t xml:space="preserve"> exploitations de </w:t>
      </w:r>
      <w:proofErr w:type="spellStart"/>
      <w:r w:rsidR="00F714BB" w:rsidRPr="00305E37">
        <w:rPr>
          <w:rFonts w:ascii="Times New Roman" w:hAnsi="Times New Roman" w:cs="Times New Roman"/>
          <w:b/>
          <w:sz w:val="28"/>
          <w:szCs w:val="24"/>
        </w:rPr>
        <w:t>Sakaby</w:t>
      </w:r>
      <w:proofErr w:type="spellEnd"/>
      <w:r w:rsidR="00F714BB" w:rsidRPr="00305E37">
        <w:rPr>
          <w:rFonts w:ascii="Times New Roman" w:hAnsi="Times New Roman" w:cs="Times New Roman"/>
          <w:b/>
          <w:sz w:val="28"/>
          <w:szCs w:val="24"/>
        </w:rPr>
        <w:t xml:space="preserve"> et de </w:t>
      </w:r>
      <w:proofErr w:type="spellStart"/>
      <w:r w:rsidR="00F714BB" w:rsidRPr="00305E37">
        <w:rPr>
          <w:rFonts w:ascii="Times New Roman" w:hAnsi="Times New Roman" w:cs="Times New Roman"/>
          <w:b/>
          <w:sz w:val="28"/>
          <w:szCs w:val="24"/>
        </w:rPr>
        <w:t>Dogona</w:t>
      </w:r>
      <w:proofErr w:type="spellEnd"/>
      <w:r w:rsidR="00F714BB" w:rsidRPr="00305E37">
        <w:rPr>
          <w:rFonts w:ascii="Times New Roman" w:hAnsi="Times New Roman" w:cs="Times New Roman"/>
          <w:b/>
          <w:sz w:val="28"/>
          <w:szCs w:val="24"/>
        </w:rPr>
        <w:t xml:space="preserve"> à Bobo-Dioulasso</w:t>
      </w:r>
    </w:p>
    <w:p w14:paraId="53C0BB86" w14:textId="77777777" w:rsidR="0002689F" w:rsidRDefault="0002689F" w:rsidP="00EB7D2E">
      <w:pPr>
        <w:spacing w:line="240" w:lineRule="auto"/>
        <w:jc w:val="center"/>
        <w:rPr>
          <w:rFonts w:ascii="Times New Roman" w:hAnsi="Times New Roman" w:cs="Times New Roman"/>
          <w:sz w:val="24"/>
          <w:szCs w:val="24"/>
        </w:rPr>
      </w:pPr>
    </w:p>
    <w:p w14:paraId="3891F5A3" w14:textId="73A767C2" w:rsidR="0002689F" w:rsidRDefault="001C31C6" w:rsidP="0002689F">
      <w:pPr>
        <w:spacing w:line="240" w:lineRule="auto"/>
        <w:jc w:val="right"/>
        <w:rPr>
          <w:rFonts w:ascii="Times New Roman" w:hAnsi="Times New Roman" w:cs="Times New Roman"/>
          <w:b/>
          <w:sz w:val="20"/>
          <w:szCs w:val="20"/>
        </w:rPr>
      </w:pPr>
      <w:r w:rsidRPr="0002689F">
        <w:rPr>
          <w:rFonts w:ascii="Times New Roman" w:hAnsi="Times New Roman" w:cs="Times New Roman"/>
          <w:b/>
          <w:sz w:val="20"/>
          <w:szCs w:val="20"/>
        </w:rPr>
        <w:t xml:space="preserve">OUEDRAOGO </w:t>
      </w:r>
      <w:proofErr w:type="spellStart"/>
      <w:r w:rsidRPr="0002689F">
        <w:rPr>
          <w:rFonts w:ascii="Times New Roman" w:hAnsi="Times New Roman" w:cs="Times New Roman"/>
          <w:b/>
          <w:sz w:val="20"/>
          <w:szCs w:val="20"/>
        </w:rPr>
        <w:t>Rayangnéwendé</w:t>
      </w:r>
      <w:proofErr w:type="spellEnd"/>
      <w:r w:rsidRPr="0002689F">
        <w:rPr>
          <w:rFonts w:ascii="Times New Roman" w:hAnsi="Times New Roman" w:cs="Times New Roman"/>
          <w:b/>
          <w:sz w:val="20"/>
          <w:szCs w:val="20"/>
        </w:rPr>
        <w:t xml:space="preserve"> Adèle</w:t>
      </w:r>
      <w:r w:rsidR="0002689F">
        <w:rPr>
          <w:rStyle w:val="Appelnotedebasdep"/>
          <w:rFonts w:ascii="Times New Roman" w:hAnsi="Times New Roman" w:cs="Times New Roman"/>
          <w:b/>
          <w:sz w:val="20"/>
          <w:szCs w:val="20"/>
        </w:rPr>
        <w:footnoteReference w:id="1"/>
      </w:r>
      <w:r w:rsidRPr="0002689F">
        <w:rPr>
          <w:rFonts w:ascii="Times New Roman" w:hAnsi="Times New Roman" w:cs="Times New Roman"/>
          <w:b/>
          <w:sz w:val="20"/>
          <w:szCs w:val="20"/>
          <w:vertAlign w:val="superscript"/>
        </w:rPr>
        <w:t>*</w:t>
      </w:r>
      <w:r w:rsidRPr="0002689F">
        <w:rPr>
          <w:rFonts w:ascii="Times New Roman" w:hAnsi="Times New Roman" w:cs="Times New Roman"/>
          <w:b/>
          <w:sz w:val="20"/>
          <w:szCs w:val="20"/>
        </w:rPr>
        <w:t> ; POODA Lamine</w:t>
      </w:r>
      <w:r w:rsidRPr="0002689F">
        <w:rPr>
          <w:rFonts w:ascii="Times New Roman" w:hAnsi="Times New Roman" w:cs="Times New Roman"/>
          <w:b/>
          <w:sz w:val="20"/>
          <w:szCs w:val="20"/>
          <w:vertAlign w:val="superscript"/>
        </w:rPr>
        <w:t>1</w:t>
      </w:r>
      <w:r w:rsidRPr="0002689F">
        <w:rPr>
          <w:rFonts w:ascii="Times New Roman" w:hAnsi="Times New Roman" w:cs="Times New Roman"/>
          <w:b/>
          <w:sz w:val="20"/>
          <w:szCs w:val="20"/>
        </w:rPr>
        <w:t xml:space="preserve"> ; </w:t>
      </w:r>
    </w:p>
    <w:p w14:paraId="55A78066" w14:textId="2B0D4EBA" w:rsidR="001C31C6" w:rsidRPr="0002689F" w:rsidRDefault="001C31C6" w:rsidP="0002689F">
      <w:pPr>
        <w:spacing w:line="240" w:lineRule="auto"/>
        <w:jc w:val="right"/>
        <w:rPr>
          <w:rFonts w:ascii="Times New Roman" w:hAnsi="Times New Roman" w:cs="Times New Roman"/>
          <w:b/>
          <w:sz w:val="20"/>
          <w:szCs w:val="20"/>
        </w:rPr>
      </w:pPr>
      <w:r w:rsidRPr="0002689F">
        <w:rPr>
          <w:rFonts w:ascii="Times New Roman" w:hAnsi="Times New Roman" w:cs="Times New Roman"/>
          <w:b/>
          <w:sz w:val="20"/>
          <w:szCs w:val="20"/>
        </w:rPr>
        <w:t xml:space="preserve">KAMBIRE </w:t>
      </w:r>
      <w:proofErr w:type="spellStart"/>
      <w:r w:rsidRPr="0002689F">
        <w:rPr>
          <w:rFonts w:ascii="Times New Roman" w:hAnsi="Times New Roman" w:cs="Times New Roman"/>
          <w:b/>
          <w:sz w:val="20"/>
          <w:szCs w:val="20"/>
        </w:rPr>
        <w:t>Fabèkourè</w:t>
      </w:r>
      <w:proofErr w:type="spellEnd"/>
      <w:r w:rsidRPr="0002689F">
        <w:rPr>
          <w:rFonts w:ascii="Times New Roman" w:hAnsi="Times New Roman" w:cs="Times New Roman"/>
          <w:b/>
          <w:sz w:val="20"/>
          <w:szCs w:val="20"/>
        </w:rPr>
        <w:t xml:space="preserve"> Cédric</w:t>
      </w:r>
      <w:r w:rsidRPr="0002689F">
        <w:rPr>
          <w:rFonts w:ascii="Times New Roman" w:hAnsi="Times New Roman" w:cs="Times New Roman"/>
          <w:b/>
          <w:sz w:val="20"/>
          <w:szCs w:val="20"/>
          <w:vertAlign w:val="superscript"/>
        </w:rPr>
        <w:t>1</w:t>
      </w:r>
      <w:r w:rsidRPr="0002689F">
        <w:rPr>
          <w:rFonts w:ascii="Times New Roman" w:hAnsi="Times New Roman" w:cs="Times New Roman"/>
          <w:b/>
          <w:sz w:val="20"/>
          <w:szCs w:val="20"/>
        </w:rPr>
        <w:t> ; KONE Martine</w:t>
      </w:r>
      <w:r w:rsidRPr="0002689F">
        <w:rPr>
          <w:rFonts w:ascii="Times New Roman" w:hAnsi="Times New Roman" w:cs="Times New Roman"/>
          <w:b/>
          <w:sz w:val="20"/>
          <w:szCs w:val="20"/>
          <w:vertAlign w:val="superscript"/>
        </w:rPr>
        <w:t>1</w:t>
      </w:r>
    </w:p>
    <w:p w14:paraId="15F5AF7C" w14:textId="77777777" w:rsidR="001C31C6" w:rsidRPr="00071D00" w:rsidRDefault="001C31C6" w:rsidP="00EB7D2E">
      <w:pPr>
        <w:spacing w:line="240" w:lineRule="auto"/>
        <w:jc w:val="center"/>
        <w:rPr>
          <w:rFonts w:ascii="Times New Roman" w:hAnsi="Times New Roman" w:cs="Times New Roman"/>
          <w:sz w:val="24"/>
          <w:szCs w:val="24"/>
          <w:lang w:val="fr-BE"/>
        </w:rPr>
      </w:pPr>
    </w:p>
    <w:p w14:paraId="0D59E724" w14:textId="5A3CAE2B" w:rsidR="001C31C6" w:rsidRPr="0002689F" w:rsidRDefault="001C31C6" w:rsidP="0002689F">
      <w:pPr>
        <w:spacing w:line="240" w:lineRule="auto"/>
        <w:rPr>
          <w:rFonts w:ascii="Times New Roman" w:hAnsi="Times New Roman" w:cs="Times New Roman"/>
          <w:sz w:val="20"/>
          <w:szCs w:val="20"/>
          <w:lang w:val="fr-BE"/>
        </w:rPr>
      </w:pPr>
    </w:p>
    <w:p w14:paraId="4F8E79A9" w14:textId="77777777" w:rsidR="00E92C8B" w:rsidRPr="0002689F" w:rsidRDefault="00E92C8B" w:rsidP="003F65BB">
      <w:pPr>
        <w:spacing w:after="120" w:line="240" w:lineRule="auto"/>
        <w:rPr>
          <w:rFonts w:ascii="Times New Roman" w:hAnsi="Times New Roman" w:cs="Times New Roman"/>
          <w:b/>
          <w:sz w:val="20"/>
          <w:szCs w:val="20"/>
        </w:rPr>
      </w:pPr>
      <w:r w:rsidRPr="0002689F">
        <w:rPr>
          <w:rFonts w:ascii="Times New Roman" w:hAnsi="Times New Roman" w:cs="Times New Roman"/>
          <w:b/>
          <w:sz w:val="20"/>
          <w:szCs w:val="20"/>
        </w:rPr>
        <w:t>Résumé</w:t>
      </w:r>
    </w:p>
    <w:p w14:paraId="7E50E8F3" w14:textId="4FEB468C" w:rsidR="00012A4A" w:rsidRPr="0002689F" w:rsidRDefault="009C2B49" w:rsidP="0002689F">
      <w:pPr>
        <w:spacing w:after="120" w:line="240" w:lineRule="auto"/>
        <w:rPr>
          <w:rFonts w:ascii="Times New Roman" w:hAnsi="Times New Roman" w:cs="Times New Roman"/>
          <w:sz w:val="20"/>
          <w:szCs w:val="20"/>
        </w:rPr>
      </w:pPr>
      <w:r w:rsidRPr="0002689F">
        <w:rPr>
          <w:rFonts w:ascii="Times New Roman" w:hAnsi="Times New Roman" w:cs="Times New Roman"/>
          <w:sz w:val="20"/>
          <w:szCs w:val="20"/>
        </w:rPr>
        <w:t xml:space="preserve">La </w:t>
      </w:r>
      <w:r w:rsidR="003B5BD8" w:rsidRPr="0002689F">
        <w:rPr>
          <w:rFonts w:ascii="Times New Roman" w:hAnsi="Times New Roman" w:cs="Times New Roman"/>
          <w:sz w:val="20"/>
          <w:szCs w:val="20"/>
        </w:rPr>
        <w:t>nécessité</w:t>
      </w:r>
      <w:r w:rsidR="004868D2" w:rsidRPr="0002689F">
        <w:rPr>
          <w:rFonts w:ascii="Times New Roman" w:hAnsi="Times New Roman" w:cs="Times New Roman"/>
          <w:sz w:val="20"/>
          <w:szCs w:val="20"/>
        </w:rPr>
        <w:t xml:space="preserve"> </w:t>
      </w:r>
      <w:r w:rsidR="00F54C3B" w:rsidRPr="0002689F">
        <w:rPr>
          <w:rFonts w:ascii="Times New Roman" w:hAnsi="Times New Roman" w:cs="Times New Roman"/>
          <w:sz w:val="20"/>
          <w:szCs w:val="20"/>
        </w:rPr>
        <w:t>de règlementer l’usage des pesticides</w:t>
      </w:r>
      <w:r w:rsidR="003B5BD8" w:rsidRPr="0002689F">
        <w:rPr>
          <w:rFonts w:ascii="Times New Roman" w:hAnsi="Times New Roman" w:cs="Times New Roman"/>
          <w:sz w:val="20"/>
          <w:szCs w:val="20"/>
        </w:rPr>
        <w:t xml:space="preserve"> en maraîchage </w:t>
      </w:r>
      <w:r w:rsidRPr="0002689F">
        <w:rPr>
          <w:rFonts w:ascii="Times New Roman" w:hAnsi="Times New Roman" w:cs="Times New Roman"/>
          <w:sz w:val="20"/>
          <w:szCs w:val="20"/>
        </w:rPr>
        <w:t xml:space="preserve">exige </w:t>
      </w:r>
      <w:r w:rsidR="003B5BD8" w:rsidRPr="0002689F">
        <w:rPr>
          <w:rFonts w:ascii="Times New Roman" w:hAnsi="Times New Roman" w:cs="Times New Roman"/>
          <w:sz w:val="20"/>
          <w:szCs w:val="20"/>
        </w:rPr>
        <w:t>une évaluation</w:t>
      </w:r>
      <w:r w:rsidR="00F54C3B" w:rsidRPr="0002689F">
        <w:rPr>
          <w:rFonts w:ascii="Times New Roman" w:hAnsi="Times New Roman" w:cs="Times New Roman"/>
          <w:sz w:val="20"/>
          <w:szCs w:val="20"/>
        </w:rPr>
        <w:t xml:space="preserve"> </w:t>
      </w:r>
      <w:r w:rsidR="003B5BD8" w:rsidRPr="0002689F">
        <w:rPr>
          <w:rFonts w:ascii="Times New Roman" w:hAnsi="Times New Roman" w:cs="Times New Roman"/>
          <w:sz w:val="20"/>
          <w:szCs w:val="20"/>
        </w:rPr>
        <w:t>des</w:t>
      </w:r>
      <w:r w:rsidR="00F54C3B" w:rsidRPr="0002689F">
        <w:rPr>
          <w:rFonts w:ascii="Times New Roman" w:hAnsi="Times New Roman" w:cs="Times New Roman"/>
          <w:sz w:val="20"/>
          <w:szCs w:val="20"/>
        </w:rPr>
        <w:t xml:space="preserve"> risques liés aux pratiques phytosanitaires. Ainsi, </w:t>
      </w:r>
      <w:r w:rsidR="00031AD5" w:rsidRPr="0002689F">
        <w:rPr>
          <w:rFonts w:ascii="Times New Roman" w:hAnsi="Times New Roman" w:cs="Times New Roman"/>
          <w:sz w:val="20"/>
          <w:szCs w:val="20"/>
        </w:rPr>
        <w:t>l</w:t>
      </w:r>
      <w:r w:rsidR="00F54C3B" w:rsidRPr="0002689F">
        <w:rPr>
          <w:rFonts w:ascii="Times New Roman" w:hAnsi="Times New Roman" w:cs="Times New Roman"/>
          <w:sz w:val="20"/>
          <w:szCs w:val="20"/>
        </w:rPr>
        <w:t xml:space="preserve">’indicateur « </w:t>
      </w:r>
      <w:proofErr w:type="gramStart"/>
      <w:r w:rsidR="00F54C3B" w:rsidRPr="0002689F">
        <w:rPr>
          <w:rFonts w:ascii="Times New Roman" w:hAnsi="Times New Roman" w:cs="Times New Roman"/>
          <w:sz w:val="20"/>
          <w:szCs w:val="20"/>
        </w:rPr>
        <w:t>EPRIP»</w:t>
      </w:r>
      <w:proofErr w:type="gramEnd"/>
      <w:r w:rsidR="00F54C3B" w:rsidRPr="0002689F">
        <w:rPr>
          <w:rFonts w:ascii="Times New Roman" w:hAnsi="Times New Roman" w:cs="Times New Roman"/>
          <w:sz w:val="20"/>
          <w:szCs w:val="20"/>
        </w:rPr>
        <w:t xml:space="preserve"> (</w:t>
      </w:r>
      <w:proofErr w:type="spellStart"/>
      <w:r w:rsidR="00F54C3B" w:rsidRPr="0002689F">
        <w:rPr>
          <w:rFonts w:ascii="Times New Roman" w:hAnsi="Times New Roman" w:cs="Times New Roman"/>
          <w:sz w:val="20"/>
          <w:szCs w:val="20"/>
        </w:rPr>
        <w:t>Environmental</w:t>
      </w:r>
      <w:proofErr w:type="spellEnd"/>
      <w:r w:rsidR="00F54C3B" w:rsidRPr="0002689F">
        <w:rPr>
          <w:rFonts w:ascii="Times New Roman" w:hAnsi="Times New Roman" w:cs="Times New Roman"/>
          <w:sz w:val="20"/>
          <w:szCs w:val="20"/>
        </w:rPr>
        <w:t xml:space="preserve"> </w:t>
      </w:r>
      <w:proofErr w:type="spellStart"/>
      <w:r w:rsidR="00F54C3B" w:rsidRPr="0002689F">
        <w:rPr>
          <w:rFonts w:ascii="Times New Roman" w:hAnsi="Times New Roman" w:cs="Times New Roman"/>
          <w:sz w:val="20"/>
          <w:szCs w:val="20"/>
        </w:rPr>
        <w:t>Potential</w:t>
      </w:r>
      <w:proofErr w:type="spellEnd"/>
      <w:r w:rsidR="00F54C3B" w:rsidRPr="0002689F">
        <w:rPr>
          <w:rFonts w:ascii="Times New Roman" w:hAnsi="Times New Roman" w:cs="Times New Roman"/>
          <w:sz w:val="20"/>
          <w:szCs w:val="20"/>
        </w:rPr>
        <w:t xml:space="preserve"> </w:t>
      </w:r>
      <w:proofErr w:type="spellStart"/>
      <w:r w:rsidR="00F54C3B" w:rsidRPr="0002689F">
        <w:rPr>
          <w:rFonts w:ascii="Times New Roman" w:hAnsi="Times New Roman" w:cs="Times New Roman"/>
          <w:sz w:val="20"/>
          <w:szCs w:val="20"/>
        </w:rPr>
        <w:t>Risk</w:t>
      </w:r>
      <w:proofErr w:type="spellEnd"/>
      <w:r w:rsidR="00F54C3B" w:rsidRPr="0002689F">
        <w:rPr>
          <w:rFonts w:ascii="Times New Roman" w:hAnsi="Times New Roman" w:cs="Times New Roman"/>
          <w:sz w:val="20"/>
          <w:szCs w:val="20"/>
        </w:rPr>
        <w:t xml:space="preserve"> </w:t>
      </w:r>
      <w:proofErr w:type="spellStart"/>
      <w:r w:rsidR="00F54C3B" w:rsidRPr="0002689F">
        <w:rPr>
          <w:rFonts w:ascii="Times New Roman" w:hAnsi="Times New Roman" w:cs="Times New Roman"/>
          <w:sz w:val="20"/>
          <w:szCs w:val="20"/>
        </w:rPr>
        <w:t>Indicator</w:t>
      </w:r>
      <w:proofErr w:type="spellEnd"/>
      <w:r w:rsidR="00F54C3B" w:rsidRPr="0002689F">
        <w:rPr>
          <w:rFonts w:ascii="Times New Roman" w:hAnsi="Times New Roman" w:cs="Times New Roman"/>
          <w:sz w:val="20"/>
          <w:szCs w:val="20"/>
        </w:rPr>
        <w:t xml:space="preserve"> for Pesticides) a été utilisé pour évaluer les risques de toxicité liés à l’usage des pesticides dans les compartiments </w:t>
      </w:r>
      <w:r w:rsidR="004868D2" w:rsidRPr="0002689F">
        <w:rPr>
          <w:rFonts w:ascii="Times New Roman" w:hAnsi="Times New Roman" w:cs="Times New Roman"/>
          <w:sz w:val="20"/>
          <w:szCs w:val="20"/>
        </w:rPr>
        <w:t>de l’environnement</w:t>
      </w:r>
      <w:r w:rsidR="00F54C3B" w:rsidRPr="0002689F">
        <w:rPr>
          <w:rFonts w:ascii="Times New Roman" w:hAnsi="Times New Roman" w:cs="Times New Roman"/>
          <w:sz w:val="20"/>
          <w:szCs w:val="20"/>
        </w:rPr>
        <w:t xml:space="preserve"> et le risque environnemental global sur le site de </w:t>
      </w:r>
      <w:proofErr w:type="spellStart"/>
      <w:r w:rsidR="00F54C3B" w:rsidRPr="0002689F">
        <w:rPr>
          <w:rFonts w:ascii="Times New Roman" w:hAnsi="Times New Roman" w:cs="Times New Roman"/>
          <w:sz w:val="20"/>
          <w:szCs w:val="20"/>
        </w:rPr>
        <w:t>Sakaby</w:t>
      </w:r>
      <w:proofErr w:type="spellEnd"/>
      <w:r w:rsidR="00F54C3B" w:rsidRPr="0002689F">
        <w:rPr>
          <w:rFonts w:ascii="Times New Roman" w:hAnsi="Times New Roman" w:cs="Times New Roman"/>
          <w:sz w:val="20"/>
          <w:szCs w:val="20"/>
        </w:rPr>
        <w:t xml:space="preserve"> et </w:t>
      </w:r>
      <w:proofErr w:type="spellStart"/>
      <w:r w:rsidR="00F54C3B" w:rsidRPr="0002689F">
        <w:rPr>
          <w:rFonts w:ascii="Times New Roman" w:hAnsi="Times New Roman" w:cs="Times New Roman"/>
          <w:sz w:val="20"/>
          <w:szCs w:val="20"/>
        </w:rPr>
        <w:t>Dogona</w:t>
      </w:r>
      <w:proofErr w:type="spellEnd"/>
      <w:r w:rsidR="00F54C3B" w:rsidRPr="0002689F">
        <w:rPr>
          <w:rFonts w:ascii="Times New Roman" w:hAnsi="Times New Roman" w:cs="Times New Roman"/>
          <w:sz w:val="20"/>
          <w:szCs w:val="20"/>
        </w:rPr>
        <w:t xml:space="preserve"> (Burkina Faso). Des données ont été collecté</w:t>
      </w:r>
      <w:r w:rsidR="00031AD5" w:rsidRPr="0002689F">
        <w:rPr>
          <w:rFonts w:ascii="Times New Roman" w:hAnsi="Times New Roman" w:cs="Times New Roman"/>
          <w:sz w:val="20"/>
          <w:szCs w:val="20"/>
        </w:rPr>
        <w:t>e</w:t>
      </w:r>
      <w:r w:rsidR="00F54C3B" w:rsidRPr="0002689F">
        <w:rPr>
          <w:rFonts w:ascii="Times New Roman" w:hAnsi="Times New Roman" w:cs="Times New Roman"/>
          <w:sz w:val="20"/>
          <w:szCs w:val="20"/>
        </w:rPr>
        <w:t>s</w:t>
      </w:r>
      <w:r w:rsidR="00BA2943" w:rsidRPr="0002689F">
        <w:rPr>
          <w:rFonts w:ascii="Times New Roman" w:hAnsi="Times New Roman" w:cs="Times New Roman"/>
          <w:sz w:val="20"/>
          <w:szCs w:val="20"/>
        </w:rPr>
        <w:t xml:space="preserve"> </w:t>
      </w:r>
      <w:r w:rsidR="00F54C3B" w:rsidRPr="0002689F">
        <w:rPr>
          <w:rFonts w:ascii="Times New Roman" w:hAnsi="Times New Roman" w:cs="Times New Roman"/>
          <w:sz w:val="20"/>
          <w:szCs w:val="20"/>
        </w:rPr>
        <w:t xml:space="preserve">dans 30 exploitations à travers une enquête </w:t>
      </w:r>
      <w:r w:rsidR="006D4661" w:rsidRPr="0002689F">
        <w:rPr>
          <w:rFonts w:ascii="Times New Roman" w:hAnsi="Times New Roman" w:cs="Times New Roman"/>
          <w:sz w:val="20"/>
          <w:szCs w:val="20"/>
        </w:rPr>
        <w:t xml:space="preserve">et des mesures de </w:t>
      </w:r>
      <w:r w:rsidR="00F54C3B" w:rsidRPr="0002689F">
        <w:rPr>
          <w:rFonts w:ascii="Times New Roman" w:hAnsi="Times New Roman" w:cs="Times New Roman"/>
          <w:sz w:val="20"/>
          <w:szCs w:val="20"/>
        </w:rPr>
        <w:t>terrain</w:t>
      </w:r>
      <w:r w:rsidR="006D4661" w:rsidRPr="0002689F">
        <w:rPr>
          <w:rFonts w:ascii="Times New Roman" w:hAnsi="Times New Roman" w:cs="Times New Roman"/>
          <w:sz w:val="20"/>
          <w:szCs w:val="20"/>
        </w:rPr>
        <w:t>.</w:t>
      </w:r>
      <w:r w:rsidR="00031AD5" w:rsidRPr="0002689F">
        <w:rPr>
          <w:rFonts w:ascii="Times New Roman" w:hAnsi="Times New Roman" w:cs="Times New Roman"/>
          <w:sz w:val="20"/>
          <w:szCs w:val="20"/>
        </w:rPr>
        <w:t xml:space="preserve"> </w:t>
      </w:r>
      <w:r w:rsidR="00E92C8B" w:rsidRPr="0002689F">
        <w:rPr>
          <w:rFonts w:ascii="Times New Roman" w:hAnsi="Times New Roman" w:cs="Times New Roman"/>
          <w:sz w:val="20"/>
          <w:szCs w:val="20"/>
        </w:rPr>
        <w:t>Les points de risque de toxicité</w:t>
      </w:r>
      <w:r w:rsidRPr="0002689F">
        <w:rPr>
          <w:rFonts w:ascii="Times New Roman" w:hAnsi="Times New Roman" w:cs="Times New Roman"/>
          <w:sz w:val="20"/>
          <w:szCs w:val="20"/>
        </w:rPr>
        <w:t xml:space="preserve"> (RP)</w:t>
      </w:r>
      <w:r w:rsidR="00E92C8B" w:rsidRPr="0002689F">
        <w:rPr>
          <w:rFonts w:ascii="Times New Roman" w:hAnsi="Times New Roman" w:cs="Times New Roman"/>
          <w:sz w:val="20"/>
          <w:szCs w:val="20"/>
        </w:rPr>
        <w:t xml:space="preserve"> par compartiment et le score global de toxicité </w:t>
      </w:r>
      <w:r w:rsidR="009D5863" w:rsidRPr="0002689F">
        <w:rPr>
          <w:rFonts w:ascii="Times New Roman" w:hAnsi="Times New Roman" w:cs="Times New Roman"/>
          <w:sz w:val="20"/>
          <w:szCs w:val="20"/>
        </w:rPr>
        <w:t xml:space="preserve">ont </w:t>
      </w:r>
      <w:r w:rsidR="00E92C8B" w:rsidRPr="0002689F">
        <w:rPr>
          <w:rFonts w:ascii="Times New Roman" w:hAnsi="Times New Roman" w:cs="Times New Roman"/>
          <w:sz w:val="20"/>
          <w:szCs w:val="20"/>
        </w:rPr>
        <w:t>été calculé</w:t>
      </w:r>
      <w:r w:rsidR="009D5863" w:rsidRPr="0002689F">
        <w:rPr>
          <w:rFonts w:ascii="Times New Roman" w:hAnsi="Times New Roman" w:cs="Times New Roman"/>
          <w:sz w:val="20"/>
          <w:szCs w:val="20"/>
        </w:rPr>
        <w:t>s</w:t>
      </w:r>
      <w:r w:rsidR="00E92C8B" w:rsidRPr="0002689F">
        <w:rPr>
          <w:rFonts w:ascii="Times New Roman" w:hAnsi="Times New Roman" w:cs="Times New Roman"/>
          <w:sz w:val="20"/>
          <w:szCs w:val="20"/>
        </w:rPr>
        <w:t xml:space="preserve"> par substance active et pa</w:t>
      </w:r>
      <w:r w:rsidR="003B5BD8" w:rsidRPr="0002689F">
        <w:rPr>
          <w:rFonts w:ascii="Times New Roman" w:hAnsi="Times New Roman" w:cs="Times New Roman"/>
          <w:sz w:val="20"/>
          <w:szCs w:val="20"/>
        </w:rPr>
        <w:t>r spéculation. La</w:t>
      </w:r>
      <w:r w:rsidR="00E92C8B" w:rsidRPr="0002689F">
        <w:rPr>
          <w:rFonts w:ascii="Times New Roman" w:hAnsi="Times New Roman" w:cs="Times New Roman"/>
          <w:sz w:val="20"/>
          <w:szCs w:val="20"/>
        </w:rPr>
        <w:t xml:space="preserve"> majorité des pesticides utilisés sont des </w:t>
      </w:r>
      <w:proofErr w:type="spellStart"/>
      <w:r w:rsidR="00E92C8B" w:rsidRPr="0002689F">
        <w:rPr>
          <w:rFonts w:ascii="Times New Roman" w:hAnsi="Times New Roman" w:cs="Times New Roman"/>
          <w:sz w:val="20"/>
          <w:szCs w:val="20"/>
        </w:rPr>
        <w:t>pyréthrinoïdes</w:t>
      </w:r>
      <w:proofErr w:type="spellEnd"/>
      <w:r w:rsidR="00E92C8B" w:rsidRPr="0002689F">
        <w:rPr>
          <w:rFonts w:ascii="Times New Roman" w:hAnsi="Times New Roman" w:cs="Times New Roman"/>
          <w:sz w:val="20"/>
          <w:szCs w:val="20"/>
        </w:rPr>
        <w:t xml:space="preserve"> (91%) avec comme matières actives l’</w:t>
      </w:r>
      <w:proofErr w:type="spellStart"/>
      <w:r w:rsidR="00E92C8B" w:rsidRPr="0002689F">
        <w:rPr>
          <w:rFonts w:ascii="Times New Roman" w:hAnsi="Times New Roman" w:cs="Times New Roman"/>
          <w:sz w:val="20"/>
          <w:szCs w:val="20"/>
        </w:rPr>
        <w:t>acétamipride</w:t>
      </w:r>
      <w:proofErr w:type="spellEnd"/>
      <w:r w:rsidR="00E92C8B" w:rsidRPr="0002689F">
        <w:rPr>
          <w:rFonts w:ascii="Times New Roman" w:hAnsi="Times New Roman" w:cs="Times New Roman"/>
          <w:sz w:val="20"/>
          <w:szCs w:val="20"/>
        </w:rPr>
        <w:t xml:space="preserve"> (38%), le cyperméthrine (31%) et le lambda-</w:t>
      </w:r>
      <w:proofErr w:type="spellStart"/>
      <w:r w:rsidR="00E92C8B" w:rsidRPr="0002689F">
        <w:rPr>
          <w:rFonts w:ascii="Times New Roman" w:hAnsi="Times New Roman" w:cs="Times New Roman"/>
          <w:sz w:val="20"/>
          <w:szCs w:val="20"/>
        </w:rPr>
        <w:t>cyhalothrine</w:t>
      </w:r>
      <w:proofErr w:type="spellEnd"/>
      <w:r w:rsidR="00E92C8B" w:rsidRPr="0002689F">
        <w:rPr>
          <w:rFonts w:ascii="Times New Roman" w:hAnsi="Times New Roman" w:cs="Times New Roman"/>
          <w:sz w:val="20"/>
          <w:szCs w:val="20"/>
        </w:rPr>
        <w:t xml:space="preserve"> (31%). </w:t>
      </w:r>
      <w:r w:rsidR="003B5BD8" w:rsidRPr="0002689F">
        <w:rPr>
          <w:rFonts w:ascii="Times New Roman" w:hAnsi="Times New Roman" w:cs="Times New Roman"/>
          <w:sz w:val="20"/>
          <w:szCs w:val="20"/>
        </w:rPr>
        <w:t>Les doses d’apport de ces pesticides peuvent atteindre</w:t>
      </w:r>
      <w:r w:rsidR="00E92C8B" w:rsidRPr="0002689F">
        <w:rPr>
          <w:rFonts w:ascii="Times New Roman" w:hAnsi="Times New Roman" w:cs="Times New Roman"/>
          <w:sz w:val="20"/>
          <w:szCs w:val="20"/>
        </w:rPr>
        <w:t xml:space="preserve"> 51 fois la norme recommandée. D’où des risques significatifs d</w:t>
      </w:r>
      <w:r w:rsidR="004868D2" w:rsidRPr="0002689F">
        <w:rPr>
          <w:rFonts w:ascii="Times New Roman" w:hAnsi="Times New Roman" w:cs="Times New Roman"/>
          <w:sz w:val="20"/>
          <w:szCs w:val="20"/>
        </w:rPr>
        <w:t>e toxicité dans les eaux</w:t>
      </w:r>
      <w:r w:rsidR="003B5BD8" w:rsidRPr="0002689F">
        <w:rPr>
          <w:rFonts w:ascii="Times New Roman" w:hAnsi="Times New Roman" w:cs="Times New Roman"/>
          <w:sz w:val="20"/>
          <w:szCs w:val="20"/>
        </w:rPr>
        <w:t xml:space="preserve"> et le sol. L</w:t>
      </w:r>
      <w:r w:rsidR="00E92C8B" w:rsidRPr="0002689F">
        <w:rPr>
          <w:rFonts w:ascii="Times New Roman" w:hAnsi="Times New Roman" w:cs="Times New Roman"/>
          <w:sz w:val="20"/>
          <w:szCs w:val="20"/>
        </w:rPr>
        <w:t>’air présente un risque faible de pollution pour toutes les matières actives. En somme, le seuil alarmant des risques de toxicité des pesticides dans les eaux et le sol</w:t>
      </w:r>
      <w:r w:rsidRPr="0002689F">
        <w:rPr>
          <w:rFonts w:ascii="Times New Roman" w:hAnsi="Times New Roman" w:cs="Times New Roman"/>
          <w:sz w:val="20"/>
          <w:szCs w:val="20"/>
        </w:rPr>
        <w:t xml:space="preserve"> (RP</w:t>
      </w:r>
      <w:r w:rsidR="00031AD5" w:rsidRPr="0002689F">
        <w:rPr>
          <w:rFonts w:ascii="Times New Roman" w:hAnsi="Times New Roman" w:cs="Times New Roman"/>
          <w:sz w:val="20"/>
          <w:szCs w:val="20"/>
        </w:rPr>
        <w:t xml:space="preserve"> </w:t>
      </w:r>
      <w:r w:rsidRPr="0002689F">
        <w:rPr>
          <w:rFonts w:ascii="Times New Roman" w:hAnsi="Times New Roman" w:cs="Times New Roman"/>
          <w:sz w:val="20"/>
          <w:szCs w:val="20"/>
        </w:rPr>
        <w:t>≥</w:t>
      </w:r>
      <w:r w:rsidR="00031AD5" w:rsidRPr="0002689F">
        <w:rPr>
          <w:rFonts w:ascii="Times New Roman" w:hAnsi="Times New Roman" w:cs="Times New Roman"/>
          <w:sz w:val="20"/>
          <w:szCs w:val="20"/>
        </w:rPr>
        <w:t xml:space="preserve"> </w:t>
      </w:r>
      <w:r w:rsidRPr="0002689F">
        <w:rPr>
          <w:rFonts w:ascii="Times New Roman" w:hAnsi="Times New Roman" w:cs="Times New Roman"/>
          <w:sz w:val="20"/>
          <w:szCs w:val="20"/>
        </w:rPr>
        <w:t>3)</w:t>
      </w:r>
      <w:r w:rsidR="00E92C8B" w:rsidRPr="0002689F">
        <w:rPr>
          <w:rFonts w:ascii="Times New Roman" w:hAnsi="Times New Roman" w:cs="Times New Roman"/>
          <w:sz w:val="20"/>
          <w:szCs w:val="20"/>
        </w:rPr>
        <w:t xml:space="preserve">, suggère que des mesures soient prises pour un meilleur suivi des producteurs et une transition </w:t>
      </w:r>
      <w:r w:rsidR="003B5BD8" w:rsidRPr="0002689F">
        <w:rPr>
          <w:rFonts w:ascii="Times New Roman" w:hAnsi="Times New Roman" w:cs="Times New Roman"/>
          <w:sz w:val="20"/>
          <w:szCs w:val="20"/>
        </w:rPr>
        <w:t xml:space="preserve">vers des pratiques </w:t>
      </w:r>
      <w:proofErr w:type="spellStart"/>
      <w:r w:rsidR="003B5BD8" w:rsidRPr="0002689F">
        <w:rPr>
          <w:rFonts w:ascii="Times New Roman" w:hAnsi="Times New Roman" w:cs="Times New Roman"/>
          <w:sz w:val="20"/>
          <w:szCs w:val="20"/>
        </w:rPr>
        <w:t>agroécologiques</w:t>
      </w:r>
      <w:proofErr w:type="spellEnd"/>
      <w:r w:rsidR="00E92C8B" w:rsidRPr="0002689F">
        <w:rPr>
          <w:rFonts w:ascii="Times New Roman" w:hAnsi="Times New Roman" w:cs="Times New Roman"/>
          <w:sz w:val="20"/>
          <w:szCs w:val="20"/>
        </w:rPr>
        <w:t>.</w:t>
      </w:r>
    </w:p>
    <w:p w14:paraId="633FD857" w14:textId="1442CBE3" w:rsidR="00E92C8B" w:rsidRPr="0002689F" w:rsidRDefault="00E92C8B" w:rsidP="00EB7D2E">
      <w:pPr>
        <w:spacing w:line="240" w:lineRule="auto"/>
        <w:rPr>
          <w:rFonts w:ascii="Times New Roman" w:hAnsi="Times New Roman" w:cs="Times New Roman"/>
          <w:b/>
          <w:sz w:val="20"/>
          <w:szCs w:val="20"/>
          <w:lang w:val="fr-BE"/>
        </w:rPr>
      </w:pPr>
      <w:r w:rsidRPr="0002689F">
        <w:rPr>
          <w:rFonts w:ascii="Times New Roman" w:hAnsi="Times New Roman" w:cs="Times New Roman"/>
          <w:b/>
          <w:sz w:val="20"/>
          <w:szCs w:val="20"/>
          <w:lang w:val="fr-BE"/>
        </w:rPr>
        <w:t>Mots clés :</w:t>
      </w:r>
      <w:r w:rsidR="00000E8F" w:rsidRPr="0002689F">
        <w:rPr>
          <w:rFonts w:ascii="Times New Roman" w:hAnsi="Times New Roman" w:cs="Times New Roman"/>
          <w:sz w:val="20"/>
          <w:szCs w:val="20"/>
          <w:lang w:val="fr-BE"/>
        </w:rPr>
        <w:t xml:space="preserve"> Pollution, pesticides, </w:t>
      </w:r>
      <w:r w:rsidR="006858D8" w:rsidRPr="0002689F">
        <w:rPr>
          <w:rFonts w:ascii="Times New Roman" w:hAnsi="Times New Roman" w:cs="Times New Roman"/>
          <w:sz w:val="20"/>
          <w:szCs w:val="20"/>
          <w:lang w:val="fr-BE"/>
        </w:rPr>
        <w:t>maraîchage, Bobo</w:t>
      </w:r>
      <w:r w:rsidR="00000E8F" w:rsidRPr="0002689F">
        <w:rPr>
          <w:rFonts w:ascii="Times New Roman" w:hAnsi="Times New Roman" w:cs="Times New Roman"/>
          <w:sz w:val="20"/>
          <w:szCs w:val="20"/>
          <w:lang w:val="fr-BE"/>
        </w:rPr>
        <w:t>-Dioulasso</w:t>
      </w:r>
      <w:r w:rsidR="00551EB3" w:rsidRPr="0002689F">
        <w:rPr>
          <w:rFonts w:ascii="Times New Roman" w:hAnsi="Times New Roman" w:cs="Times New Roman"/>
          <w:sz w:val="20"/>
          <w:szCs w:val="20"/>
          <w:lang w:val="fr-BE"/>
        </w:rPr>
        <w:t>,</w:t>
      </w:r>
      <w:r w:rsidR="00551EB3" w:rsidRPr="0002689F">
        <w:rPr>
          <w:rFonts w:ascii="Times New Roman" w:hAnsi="Times New Roman" w:cs="Times New Roman"/>
          <w:sz w:val="20"/>
          <w:szCs w:val="20"/>
        </w:rPr>
        <w:t xml:space="preserve"> Indicateur « </w:t>
      </w:r>
      <w:proofErr w:type="gramStart"/>
      <w:r w:rsidR="00551EB3" w:rsidRPr="0002689F">
        <w:rPr>
          <w:rFonts w:ascii="Times New Roman" w:hAnsi="Times New Roman" w:cs="Times New Roman"/>
          <w:sz w:val="20"/>
          <w:szCs w:val="20"/>
        </w:rPr>
        <w:t>EPRIP»</w:t>
      </w:r>
      <w:proofErr w:type="gramEnd"/>
    </w:p>
    <w:p w14:paraId="0ABC01E1" w14:textId="3BE0B1E1" w:rsidR="001B03DA" w:rsidRPr="0002689F" w:rsidRDefault="001B03DA" w:rsidP="00EB7D2E">
      <w:pPr>
        <w:spacing w:line="240" w:lineRule="auto"/>
        <w:rPr>
          <w:rFonts w:ascii="Times New Roman" w:hAnsi="Times New Roman" w:cs="Times New Roman"/>
          <w:b/>
          <w:sz w:val="24"/>
          <w:lang w:val="fr-BE"/>
        </w:rPr>
      </w:pPr>
    </w:p>
    <w:p w14:paraId="29C6722B" w14:textId="77777777" w:rsidR="00031AD5" w:rsidRPr="001D7056" w:rsidRDefault="00031AD5" w:rsidP="00EB7D2E">
      <w:pPr>
        <w:spacing w:line="240" w:lineRule="auto"/>
        <w:rPr>
          <w:rFonts w:ascii="Times New Roman" w:hAnsi="Times New Roman" w:cs="Times New Roman"/>
          <w:b/>
          <w:sz w:val="28"/>
          <w:szCs w:val="28"/>
          <w:lang w:val="fr-BE"/>
        </w:rPr>
      </w:pPr>
    </w:p>
    <w:p w14:paraId="311A53FB" w14:textId="58391695" w:rsidR="00BB770F" w:rsidRPr="001D7056" w:rsidRDefault="00BB770F" w:rsidP="00EB7D2E">
      <w:pPr>
        <w:spacing w:line="240" w:lineRule="auto"/>
        <w:rPr>
          <w:rFonts w:ascii="Times New Roman" w:hAnsi="Times New Roman" w:cs="Times New Roman"/>
          <w:b/>
          <w:sz w:val="28"/>
          <w:szCs w:val="28"/>
          <w:lang w:val="en-US"/>
        </w:rPr>
      </w:pPr>
      <w:r w:rsidRPr="001D7056">
        <w:rPr>
          <w:rFonts w:ascii="Times New Roman" w:hAnsi="Times New Roman" w:cs="Times New Roman"/>
          <w:b/>
          <w:sz w:val="28"/>
          <w:szCs w:val="28"/>
          <w:lang w:val="en-US"/>
        </w:rPr>
        <w:t xml:space="preserve">Risks of environmental pollution linked to the use of pesticides in market gardening: case of the </w:t>
      </w:r>
      <w:proofErr w:type="spellStart"/>
      <w:r w:rsidRPr="001D7056">
        <w:rPr>
          <w:rFonts w:ascii="Times New Roman" w:hAnsi="Times New Roman" w:cs="Times New Roman"/>
          <w:b/>
          <w:sz w:val="28"/>
          <w:szCs w:val="28"/>
          <w:lang w:val="en-US"/>
        </w:rPr>
        <w:t>Sakaby</w:t>
      </w:r>
      <w:proofErr w:type="spellEnd"/>
      <w:r w:rsidRPr="001D7056">
        <w:rPr>
          <w:rFonts w:ascii="Times New Roman" w:hAnsi="Times New Roman" w:cs="Times New Roman"/>
          <w:b/>
          <w:sz w:val="28"/>
          <w:szCs w:val="28"/>
          <w:lang w:val="en-US"/>
        </w:rPr>
        <w:t xml:space="preserve"> and </w:t>
      </w:r>
      <w:proofErr w:type="spellStart"/>
      <w:r w:rsidRPr="001D7056">
        <w:rPr>
          <w:rFonts w:ascii="Times New Roman" w:hAnsi="Times New Roman" w:cs="Times New Roman"/>
          <w:b/>
          <w:sz w:val="28"/>
          <w:szCs w:val="28"/>
          <w:lang w:val="en-US"/>
        </w:rPr>
        <w:t>Dogona</w:t>
      </w:r>
      <w:proofErr w:type="spellEnd"/>
      <w:r w:rsidRPr="001D7056">
        <w:rPr>
          <w:rFonts w:ascii="Times New Roman" w:hAnsi="Times New Roman" w:cs="Times New Roman"/>
          <w:b/>
          <w:sz w:val="28"/>
          <w:szCs w:val="28"/>
          <w:lang w:val="en-US"/>
        </w:rPr>
        <w:t xml:space="preserve"> farms in Bobo-</w:t>
      </w:r>
      <w:proofErr w:type="spellStart"/>
      <w:r w:rsidRPr="001D7056">
        <w:rPr>
          <w:rFonts w:ascii="Times New Roman" w:hAnsi="Times New Roman" w:cs="Times New Roman"/>
          <w:b/>
          <w:sz w:val="28"/>
          <w:szCs w:val="28"/>
          <w:lang w:val="en-US"/>
        </w:rPr>
        <w:t>Dioulasso</w:t>
      </w:r>
      <w:proofErr w:type="spellEnd"/>
    </w:p>
    <w:p w14:paraId="5A14A092" w14:textId="77777777" w:rsidR="00BB770F" w:rsidRPr="001D7056" w:rsidRDefault="00BB770F" w:rsidP="00EB7D2E">
      <w:pPr>
        <w:spacing w:line="240" w:lineRule="auto"/>
        <w:rPr>
          <w:lang w:val="en-US"/>
        </w:rPr>
      </w:pPr>
    </w:p>
    <w:p w14:paraId="72831DDD" w14:textId="77777777" w:rsidR="00BB770F" w:rsidRPr="0002689F" w:rsidRDefault="00BB770F" w:rsidP="003F65BB">
      <w:pPr>
        <w:spacing w:after="120" w:line="240" w:lineRule="auto"/>
        <w:rPr>
          <w:rFonts w:ascii="Times New Roman" w:hAnsi="Times New Roman" w:cs="Times New Roman"/>
          <w:b/>
          <w:sz w:val="20"/>
          <w:szCs w:val="20"/>
          <w:lang w:val="en-US"/>
        </w:rPr>
      </w:pPr>
      <w:r w:rsidRPr="0002689F">
        <w:rPr>
          <w:rFonts w:ascii="Times New Roman" w:hAnsi="Times New Roman" w:cs="Times New Roman"/>
          <w:b/>
          <w:sz w:val="20"/>
          <w:szCs w:val="20"/>
          <w:lang w:val="en-US"/>
        </w:rPr>
        <w:t xml:space="preserve">Abstract </w:t>
      </w:r>
    </w:p>
    <w:p w14:paraId="67F9ED58" w14:textId="53BE81B9" w:rsidR="00CB6386" w:rsidRPr="0002689F" w:rsidRDefault="00CB6386" w:rsidP="00EB7D2E">
      <w:pPr>
        <w:spacing w:line="240" w:lineRule="auto"/>
        <w:rPr>
          <w:rFonts w:ascii="Times New Roman" w:hAnsi="Times New Roman" w:cs="Times New Roman"/>
          <w:sz w:val="20"/>
          <w:szCs w:val="20"/>
          <w:lang w:val="en-US"/>
        </w:rPr>
      </w:pPr>
      <w:r w:rsidRPr="0002689F">
        <w:rPr>
          <w:rFonts w:ascii="Times New Roman" w:hAnsi="Times New Roman" w:cs="Times New Roman"/>
          <w:sz w:val="20"/>
          <w:szCs w:val="20"/>
          <w:lang w:val="en-US"/>
        </w:rPr>
        <w:t xml:space="preserve">The need to regulate the use of pesticides in market gardening requires an assessment of the risks linked to </w:t>
      </w:r>
      <w:proofErr w:type="spellStart"/>
      <w:r w:rsidRPr="0002689F">
        <w:rPr>
          <w:rFonts w:ascii="Times New Roman" w:hAnsi="Times New Roman" w:cs="Times New Roman"/>
          <w:sz w:val="20"/>
          <w:szCs w:val="20"/>
          <w:lang w:val="en-US"/>
        </w:rPr>
        <w:t>phytosanitary</w:t>
      </w:r>
      <w:proofErr w:type="spellEnd"/>
      <w:r w:rsidRPr="0002689F">
        <w:rPr>
          <w:rFonts w:ascii="Times New Roman" w:hAnsi="Times New Roman" w:cs="Times New Roman"/>
          <w:sz w:val="20"/>
          <w:szCs w:val="20"/>
          <w:lang w:val="en-US"/>
        </w:rPr>
        <w:t xml:space="preserve"> practices. Thus, the "EPRIP" indicator (Environmental Potential Risk Indicator for Pesticides) was used to assess the toxicity risks linked to the use of pesticides in environmental compartments and the overall environmental risk at </w:t>
      </w:r>
      <w:proofErr w:type="spellStart"/>
      <w:r w:rsidRPr="0002689F">
        <w:rPr>
          <w:rFonts w:ascii="Times New Roman" w:hAnsi="Times New Roman" w:cs="Times New Roman"/>
          <w:sz w:val="20"/>
          <w:szCs w:val="20"/>
          <w:lang w:val="en-US"/>
        </w:rPr>
        <w:t>Sakaby</w:t>
      </w:r>
      <w:proofErr w:type="spellEnd"/>
      <w:r w:rsidRPr="0002689F">
        <w:rPr>
          <w:rFonts w:ascii="Times New Roman" w:hAnsi="Times New Roman" w:cs="Times New Roman"/>
          <w:sz w:val="20"/>
          <w:szCs w:val="20"/>
          <w:lang w:val="en-US"/>
        </w:rPr>
        <w:t xml:space="preserve"> and </w:t>
      </w:r>
      <w:proofErr w:type="spellStart"/>
      <w:r w:rsidRPr="0002689F">
        <w:rPr>
          <w:rFonts w:ascii="Times New Roman" w:hAnsi="Times New Roman" w:cs="Times New Roman"/>
          <w:sz w:val="20"/>
          <w:szCs w:val="20"/>
          <w:lang w:val="en-US"/>
        </w:rPr>
        <w:t>Dogona</w:t>
      </w:r>
      <w:proofErr w:type="spellEnd"/>
      <w:r w:rsidRPr="0002689F">
        <w:rPr>
          <w:rFonts w:ascii="Times New Roman" w:hAnsi="Times New Roman" w:cs="Times New Roman"/>
          <w:sz w:val="20"/>
          <w:szCs w:val="20"/>
          <w:lang w:val="en-US"/>
        </w:rPr>
        <w:t xml:space="preserve"> (Burkina Faso). Data was collected in 30 </w:t>
      </w:r>
      <w:r w:rsidR="00997F0B" w:rsidRPr="0002689F">
        <w:rPr>
          <w:rFonts w:ascii="Times New Roman" w:hAnsi="Times New Roman" w:cs="Times New Roman"/>
          <w:sz w:val="20"/>
          <w:szCs w:val="20"/>
          <w:lang w:val="en-US"/>
        </w:rPr>
        <w:t>fields</w:t>
      </w:r>
      <w:r w:rsidRPr="0002689F">
        <w:rPr>
          <w:rFonts w:ascii="Times New Roman" w:hAnsi="Times New Roman" w:cs="Times New Roman"/>
          <w:sz w:val="20"/>
          <w:szCs w:val="20"/>
          <w:lang w:val="en-US"/>
        </w:rPr>
        <w:t xml:space="preserve"> through a survey and field measurements.</w:t>
      </w:r>
    </w:p>
    <w:p w14:paraId="7A1332B0" w14:textId="0AA1383C" w:rsidR="00CB6386" w:rsidRPr="0002689F" w:rsidRDefault="00CB6386" w:rsidP="0002689F">
      <w:pPr>
        <w:spacing w:after="120" w:line="240" w:lineRule="auto"/>
        <w:rPr>
          <w:rFonts w:ascii="Times New Roman" w:hAnsi="Times New Roman" w:cs="Times New Roman"/>
          <w:sz w:val="20"/>
          <w:szCs w:val="20"/>
          <w:lang w:val="en-US"/>
        </w:rPr>
      </w:pPr>
      <w:r w:rsidRPr="0002689F">
        <w:rPr>
          <w:rFonts w:ascii="Times New Roman" w:hAnsi="Times New Roman" w:cs="Times New Roman"/>
          <w:sz w:val="20"/>
          <w:szCs w:val="20"/>
          <w:lang w:val="en-US"/>
        </w:rPr>
        <w:t xml:space="preserve">The toxicity risk points (RP) per compartment and the overall toxicity score were calculated per active substance and per speculation. The majority of the pesticides used are </w:t>
      </w:r>
      <w:proofErr w:type="spellStart"/>
      <w:r w:rsidRPr="0002689F">
        <w:rPr>
          <w:rFonts w:ascii="Times New Roman" w:hAnsi="Times New Roman" w:cs="Times New Roman"/>
          <w:sz w:val="20"/>
          <w:szCs w:val="20"/>
          <w:lang w:val="en-US"/>
        </w:rPr>
        <w:t>pyrethr</w:t>
      </w:r>
      <w:r w:rsidR="00997F0B" w:rsidRPr="0002689F">
        <w:rPr>
          <w:rFonts w:ascii="Times New Roman" w:hAnsi="Times New Roman" w:cs="Times New Roman"/>
          <w:sz w:val="20"/>
          <w:szCs w:val="20"/>
          <w:lang w:val="en-US"/>
        </w:rPr>
        <w:t>inoï</w:t>
      </w:r>
      <w:r w:rsidRPr="0002689F">
        <w:rPr>
          <w:rFonts w:ascii="Times New Roman" w:hAnsi="Times New Roman" w:cs="Times New Roman"/>
          <w:sz w:val="20"/>
          <w:szCs w:val="20"/>
          <w:lang w:val="en-US"/>
        </w:rPr>
        <w:t>ds</w:t>
      </w:r>
      <w:proofErr w:type="spellEnd"/>
      <w:r w:rsidRPr="0002689F">
        <w:rPr>
          <w:rFonts w:ascii="Times New Roman" w:hAnsi="Times New Roman" w:cs="Times New Roman"/>
          <w:sz w:val="20"/>
          <w:szCs w:val="20"/>
          <w:lang w:val="en-US"/>
        </w:rPr>
        <w:t xml:space="preserve"> (91%) with </w:t>
      </w:r>
      <w:proofErr w:type="spellStart"/>
      <w:r w:rsidRPr="0002689F">
        <w:rPr>
          <w:rFonts w:ascii="Times New Roman" w:hAnsi="Times New Roman" w:cs="Times New Roman"/>
          <w:sz w:val="20"/>
          <w:szCs w:val="20"/>
          <w:lang w:val="en-US"/>
        </w:rPr>
        <w:t>acetamiprid</w:t>
      </w:r>
      <w:proofErr w:type="spellEnd"/>
      <w:r w:rsidRPr="0002689F">
        <w:rPr>
          <w:rFonts w:ascii="Times New Roman" w:hAnsi="Times New Roman" w:cs="Times New Roman"/>
          <w:sz w:val="20"/>
          <w:szCs w:val="20"/>
          <w:lang w:val="en-US"/>
        </w:rPr>
        <w:t xml:space="preserve"> (38%), </w:t>
      </w:r>
      <w:proofErr w:type="spellStart"/>
      <w:r w:rsidRPr="0002689F">
        <w:rPr>
          <w:rFonts w:ascii="Times New Roman" w:hAnsi="Times New Roman" w:cs="Times New Roman"/>
          <w:sz w:val="20"/>
          <w:szCs w:val="20"/>
          <w:lang w:val="en-US"/>
        </w:rPr>
        <w:t>cypermethrin</w:t>
      </w:r>
      <w:proofErr w:type="spellEnd"/>
      <w:r w:rsidRPr="0002689F">
        <w:rPr>
          <w:rFonts w:ascii="Times New Roman" w:hAnsi="Times New Roman" w:cs="Times New Roman"/>
          <w:sz w:val="20"/>
          <w:szCs w:val="20"/>
          <w:lang w:val="en-US"/>
        </w:rPr>
        <w:t xml:space="preserve"> (31%) and lambda-</w:t>
      </w:r>
      <w:proofErr w:type="spellStart"/>
      <w:r w:rsidRPr="0002689F">
        <w:rPr>
          <w:rFonts w:ascii="Times New Roman" w:hAnsi="Times New Roman" w:cs="Times New Roman"/>
          <w:sz w:val="20"/>
          <w:szCs w:val="20"/>
          <w:lang w:val="en-US"/>
        </w:rPr>
        <w:t>cyhalothrin</w:t>
      </w:r>
      <w:proofErr w:type="spellEnd"/>
      <w:r w:rsidRPr="0002689F">
        <w:rPr>
          <w:rFonts w:ascii="Times New Roman" w:hAnsi="Times New Roman" w:cs="Times New Roman"/>
          <w:sz w:val="20"/>
          <w:szCs w:val="20"/>
          <w:lang w:val="en-US"/>
        </w:rPr>
        <w:t xml:space="preserve"> (31%) as active ingredients. Intake doses of these pesticides can reach 51 times the recommended standard. Hence significant risks of toxicity in water and soil. The air presents a low risk of pollution for all active ingredients. In short, the alarming threshold of pesticide toxicity risks in water and soil (RP</w:t>
      </w:r>
      <w:r w:rsidR="00031AD5" w:rsidRPr="0002689F">
        <w:rPr>
          <w:rFonts w:ascii="Times New Roman" w:hAnsi="Times New Roman" w:cs="Times New Roman"/>
          <w:sz w:val="20"/>
          <w:szCs w:val="20"/>
          <w:lang w:val="en-US"/>
        </w:rPr>
        <w:t xml:space="preserve"> </w:t>
      </w:r>
      <w:r w:rsidRPr="0002689F">
        <w:rPr>
          <w:rFonts w:ascii="Times New Roman" w:hAnsi="Times New Roman" w:cs="Times New Roman"/>
          <w:sz w:val="20"/>
          <w:szCs w:val="20"/>
          <w:lang w:val="en-US"/>
        </w:rPr>
        <w:t>≥</w:t>
      </w:r>
      <w:r w:rsidR="00031AD5" w:rsidRPr="0002689F">
        <w:rPr>
          <w:rFonts w:ascii="Times New Roman" w:hAnsi="Times New Roman" w:cs="Times New Roman"/>
          <w:sz w:val="20"/>
          <w:szCs w:val="20"/>
          <w:lang w:val="en-US"/>
        </w:rPr>
        <w:t xml:space="preserve"> </w:t>
      </w:r>
      <w:r w:rsidRPr="0002689F">
        <w:rPr>
          <w:rFonts w:ascii="Times New Roman" w:hAnsi="Times New Roman" w:cs="Times New Roman"/>
          <w:sz w:val="20"/>
          <w:szCs w:val="20"/>
          <w:lang w:val="en-US"/>
        </w:rPr>
        <w:t>3), suggests that measures should be taken for better monitoring of producers and a transition to agro-ecological practices.</w:t>
      </w:r>
    </w:p>
    <w:p w14:paraId="4EA7AFDD" w14:textId="5B12BFE0" w:rsidR="00BB770F" w:rsidRPr="0002689F" w:rsidRDefault="00BB770F" w:rsidP="00EB7D2E">
      <w:pPr>
        <w:spacing w:line="240" w:lineRule="auto"/>
        <w:rPr>
          <w:rFonts w:ascii="Times New Roman" w:hAnsi="Times New Roman" w:cs="Times New Roman"/>
          <w:sz w:val="20"/>
          <w:szCs w:val="20"/>
          <w:lang w:val="en-US"/>
        </w:rPr>
      </w:pPr>
      <w:r w:rsidRPr="0002689F">
        <w:rPr>
          <w:rFonts w:ascii="Times New Roman" w:hAnsi="Times New Roman" w:cs="Times New Roman"/>
          <w:b/>
          <w:sz w:val="20"/>
          <w:szCs w:val="20"/>
          <w:lang w:val="en-US"/>
        </w:rPr>
        <w:t>Key words:</w:t>
      </w:r>
      <w:r w:rsidRPr="0002689F">
        <w:rPr>
          <w:rFonts w:ascii="Times New Roman" w:hAnsi="Times New Roman" w:cs="Times New Roman"/>
          <w:sz w:val="20"/>
          <w:szCs w:val="20"/>
          <w:lang w:val="en-US"/>
        </w:rPr>
        <w:t xml:space="preserve"> </w:t>
      </w:r>
      <w:r w:rsidR="00CB6386" w:rsidRPr="0002689F">
        <w:rPr>
          <w:rFonts w:ascii="Times New Roman" w:hAnsi="Times New Roman" w:cs="Times New Roman"/>
          <w:sz w:val="20"/>
          <w:szCs w:val="20"/>
          <w:lang w:val="en-US"/>
        </w:rPr>
        <w:t>Pollution, pesticides, market gardening, Bobo-</w:t>
      </w:r>
      <w:proofErr w:type="spellStart"/>
      <w:r w:rsidR="00CB6386" w:rsidRPr="0002689F">
        <w:rPr>
          <w:rFonts w:ascii="Times New Roman" w:hAnsi="Times New Roman" w:cs="Times New Roman"/>
          <w:sz w:val="20"/>
          <w:szCs w:val="20"/>
          <w:lang w:val="en-US"/>
        </w:rPr>
        <w:t>Dioulasso</w:t>
      </w:r>
      <w:proofErr w:type="spellEnd"/>
      <w:r w:rsidR="00CB6386" w:rsidRPr="0002689F">
        <w:rPr>
          <w:rFonts w:ascii="Times New Roman" w:hAnsi="Times New Roman" w:cs="Times New Roman"/>
          <w:sz w:val="20"/>
          <w:szCs w:val="20"/>
          <w:lang w:val="en-US"/>
        </w:rPr>
        <w:t>, "EPRIP" indicator</w:t>
      </w:r>
    </w:p>
    <w:p w14:paraId="27CEC873" w14:textId="77777777" w:rsidR="00C12DB0" w:rsidRDefault="00C12DB0" w:rsidP="00EB7D2E">
      <w:pPr>
        <w:spacing w:line="240" w:lineRule="auto"/>
        <w:rPr>
          <w:rFonts w:ascii="Times New Roman" w:hAnsi="Times New Roman" w:cs="Times New Roman"/>
          <w:sz w:val="24"/>
          <w:szCs w:val="24"/>
          <w:lang w:val="en-US"/>
        </w:rPr>
      </w:pPr>
    </w:p>
    <w:p w14:paraId="65C75879" w14:textId="77777777" w:rsidR="00C12DB0" w:rsidRDefault="00C12DB0" w:rsidP="00EB7D2E">
      <w:pPr>
        <w:spacing w:line="240" w:lineRule="auto"/>
        <w:rPr>
          <w:rFonts w:ascii="Times New Roman" w:hAnsi="Times New Roman" w:cs="Times New Roman"/>
          <w:sz w:val="24"/>
          <w:szCs w:val="24"/>
          <w:lang w:val="en-US"/>
        </w:rPr>
      </w:pPr>
    </w:p>
    <w:p w14:paraId="181ABAB3" w14:textId="77777777" w:rsidR="00C12DB0" w:rsidRDefault="00C12DB0" w:rsidP="00EB7D2E">
      <w:pPr>
        <w:spacing w:line="240" w:lineRule="auto"/>
        <w:rPr>
          <w:rFonts w:ascii="Times New Roman" w:hAnsi="Times New Roman" w:cs="Times New Roman"/>
          <w:sz w:val="24"/>
          <w:szCs w:val="24"/>
          <w:lang w:val="en-US"/>
        </w:rPr>
      </w:pPr>
    </w:p>
    <w:p w14:paraId="57CE443A" w14:textId="77777777" w:rsidR="000B2D26" w:rsidRPr="00C12DB0" w:rsidRDefault="000B2D26" w:rsidP="00C12DB0">
      <w:pPr>
        <w:spacing w:after="240" w:line="240" w:lineRule="auto"/>
        <w:rPr>
          <w:rFonts w:ascii="Times New Roman" w:hAnsi="Times New Roman" w:cs="Times New Roman"/>
          <w:b/>
          <w:sz w:val="28"/>
          <w:szCs w:val="28"/>
        </w:rPr>
      </w:pPr>
      <w:r w:rsidRPr="00C12DB0">
        <w:rPr>
          <w:rFonts w:ascii="Times New Roman" w:hAnsi="Times New Roman" w:cs="Times New Roman"/>
          <w:b/>
          <w:sz w:val="28"/>
          <w:szCs w:val="28"/>
        </w:rPr>
        <w:t>Introduction</w:t>
      </w:r>
    </w:p>
    <w:p w14:paraId="47B1AF7D" w14:textId="4D216777" w:rsidR="00831EC3" w:rsidRPr="007B3BD9" w:rsidRDefault="006334C0" w:rsidP="00C12DB0">
      <w:pPr>
        <w:spacing w:after="120" w:line="240" w:lineRule="auto"/>
        <w:rPr>
          <w:rFonts w:ascii="Times New Roman" w:hAnsi="Times New Roman" w:cs="Times New Roman"/>
          <w:sz w:val="24"/>
          <w:szCs w:val="24"/>
        </w:rPr>
      </w:pPr>
      <w:r w:rsidRPr="007B3BD9">
        <w:rPr>
          <w:rFonts w:ascii="Times New Roman" w:hAnsi="Times New Roman" w:cs="Times New Roman"/>
          <w:sz w:val="24"/>
          <w:szCs w:val="24"/>
        </w:rPr>
        <w:t xml:space="preserve">Pour faire face à une forte pression parasitaire et aux risques </w:t>
      </w:r>
      <w:r w:rsidR="002C03F9" w:rsidRPr="007B3BD9">
        <w:rPr>
          <w:rFonts w:ascii="Times New Roman" w:hAnsi="Times New Roman" w:cs="Times New Roman"/>
          <w:sz w:val="24"/>
          <w:szCs w:val="24"/>
        </w:rPr>
        <w:t>de perte totale des rendements,</w:t>
      </w:r>
      <w:r w:rsidRPr="007B3BD9">
        <w:rPr>
          <w:rFonts w:ascii="Times New Roman" w:hAnsi="Times New Roman" w:cs="Times New Roman"/>
          <w:sz w:val="24"/>
          <w:szCs w:val="24"/>
        </w:rPr>
        <w:t xml:space="preserve"> les producteurs</w:t>
      </w:r>
      <w:r w:rsidR="00075390" w:rsidRPr="007B3BD9">
        <w:rPr>
          <w:rFonts w:ascii="Times New Roman" w:hAnsi="Times New Roman" w:cs="Times New Roman"/>
          <w:sz w:val="24"/>
          <w:szCs w:val="24"/>
        </w:rPr>
        <w:t xml:space="preserve"> maraîchers</w:t>
      </w:r>
      <w:r w:rsidRPr="007B3BD9">
        <w:rPr>
          <w:rFonts w:ascii="Times New Roman" w:hAnsi="Times New Roman" w:cs="Times New Roman"/>
          <w:sz w:val="24"/>
          <w:szCs w:val="24"/>
        </w:rPr>
        <w:t xml:space="preserve"> utilisent</w:t>
      </w:r>
      <w:r w:rsidR="00321C22" w:rsidRPr="007B3BD9">
        <w:rPr>
          <w:rFonts w:ascii="Times New Roman" w:hAnsi="Times New Roman" w:cs="Times New Roman"/>
          <w:sz w:val="24"/>
          <w:szCs w:val="24"/>
        </w:rPr>
        <w:t xml:space="preserve"> de plus en plus des pesticides</w:t>
      </w:r>
      <w:r w:rsidRPr="007B3BD9">
        <w:rPr>
          <w:rFonts w:ascii="Times New Roman" w:hAnsi="Times New Roman" w:cs="Times New Roman"/>
          <w:sz w:val="24"/>
          <w:szCs w:val="24"/>
        </w:rPr>
        <w:t xml:space="preserve"> (</w:t>
      </w:r>
      <w:r w:rsidR="00645F2B" w:rsidRPr="007B3BD9">
        <w:rPr>
          <w:rFonts w:ascii="Times New Roman" w:hAnsi="Times New Roman" w:cs="Times New Roman"/>
          <w:sz w:val="24"/>
          <w:szCs w:val="24"/>
        </w:rPr>
        <w:t xml:space="preserve">SOUGNABE </w:t>
      </w:r>
      <w:r w:rsidRPr="007B3BD9">
        <w:rPr>
          <w:rFonts w:ascii="Times New Roman" w:hAnsi="Times New Roman" w:cs="Times New Roman"/>
          <w:i/>
          <w:sz w:val="24"/>
          <w:szCs w:val="24"/>
        </w:rPr>
        <w:t>et al</w:t>
      </w:r>
      <w:r w:rsidRPr="007B3BD9">
        <w:rPr>
          <w:rFonts w:ascii="Times New Roman" w:hAnsi="Times New Roman" w:cs="Times New Roman"/>
          <w:sz w:val="24"/>
          <w:szCs w:val="24"/>
        </w:rPr>
        <w:t xml:space="preserve">., 2009 ; </w:t>
      </w:r>
      <w:r w:rsidR="00645F2B" w:rsidRPr="007B3BD9">
        <w:rPr>
          <w:rFonts w:ascii="Times New Roman" w:hAnsi="Times New Roman" w:cs="Times New Roman"/>
          <w:sz w:val="24"/>
          <w:szCs w:val="24"/>
        </w:rPr>
        <w:t xml:space="preserve">NARE </w:t>
      </w:r>
      <w:r w:rsidRPr="007B3BD9">
        <w:rPr>
          <w:rFonts w:ascii="Times New Roman" w:hAnsi="Times New Roman" w:cs="Times New Roman"/>
          <w:i/>
          <w:sz w:val="24"/>
          <w:szCs w:val="24"/>
        </w:rPr>
        <w:t>et al.,</w:t>
      </w:r>
      <w:r w:rsidRPr="007B3BD9">
        <w:rPr>
          <w:rFonts w:ascii="Times New Roman" w:hAnsi="Times New Roman" w:cs="Times New Roman"/>
          <w:sz w:val="24"/>
          <w:szCs w:val="24"/>
        </w:rPr>
        <w:t xml:space="preserve"> 2015 ; </w:t>
      </w:r>
      <w:r w:rsidR="00645F2B" w:rsidRPr="007B3BD9">
        <w:rPr>
          <w:rFonts w:ascii="Times New Roman" w:hAnsi="Times New Roman" w:cs="Times New Roman"/>
          <w:sz w:val="24"/>
          <w:szCs w:val="24"/>
        </w:rPr>
        <w:t xml:space="preserve">OUEDRAOGO </w:t>
      </w:r>
      <w:r w:rsidRPr="007B3BD9">
        <w:rPr>
          <w:rFonts w:ascii="Times New Roman" w:hAnsi="Times New Roman" w:cs="Times New Roman"/>
          <w:i/>
          <w:sz w:val="24"/>
          <w:szCs w:val="24"/>
        </w:rPr>
        <w:t>et al</w:t>
      </w:r>
      <w:r w:rsidRPr="007B3BD9">
        <w:rPr>
          <w:rFonts w:ascii="Times New Roman" w:hAnsi="Times New Roman" w:cs="Times New Roman"/>
          <w:sz w:val="24"/>
          <w:szCs w:val="24"/>
        </w:rPr>
        <w:t xml:space="preserve">., 2019). </w:t>
      </w:r>
      <w:r w:rsidR="004C4CA0" w:rsidRPr="007B3BD9">
        <w:rPr>
          <w:rFonts w:ascii="Times New Roman" w:hAnsi="Times New Roman" w:cs="Times New Roman"/>
          <w:sz w:val="24"/>
          <w:szCs w:val="24"/>
        </w:rPr>
        <w:t>En effet,</w:t>
      </w:r>
      <w:r w:rsidRPr="007B3BD9">
        <w:rPr>
          <w:rFonts w:ascii="Times New Roman" w:hAnsi="Times New Roman" w:cs="Times New Roman"/>
          <w:sz w:val="24"/>
          <w:szCs w:val="24"/>
        </w:rPr>
        <w:t xml:space="preserve"> les doses de pesticides peuv</w:t>
      </w:r>
      <w:r w:rsidR="00C80FE5" w:rsidRPr="007B3BD9">
        <w:rPr>
          <w:rFonts w:ascii="Times New Roman" w:hAnsi="Times New Roman" w:cs="Times New Roman"/>
          <w:sz w:val="24"/>
          <w:szCs w:val="24"/>
        </w:rPr>
        <w:t>ent atteindre jusqu’à 65 indices</w:t>
      </w:r>
      <w:r w:rsidRPr="007B3BD9">
        <w:rPr>
          <w:rFonts w:ascii="Times New Roman" w:hAnsi="Times New Roman" w:cs="Times New Roman"/>
          <w:sz w:val="24"/>
          <w:szCs w:val="24"/>
        </w:rPr>
        <w:t xml:space="preserve"> de fréquence phytosanitaire (IFT) </w:t>
      </w:r>
      <w:r w:rsidR="004C4CA0" w:rsidRPr="007B3BD9">
        <w:rPr>
          <w:rFonts w:ascii="Times New Roman" w:hAnsi="Times New Roman" w:cs="Times New Roman"/>
          <w:sz w:val="24"/>
          <w:szCs w:val="24"/>
        </w:rPr>
        <w:t>en plus du fait que</w:t>
      </w:r>
      <w:r w:rsidRPr="007B3BD9">
        <w:rPr>
          <w:rFonts w:ascii="Times New Roman" w:hAnsi="Times New Roman" w:cs="Times New Roman"/>
          <w:sz w:val="24"/>
          <w:szCs w:val="24"/>
        </w:rPr>
        <w:t xml:space="preserve"> 55 à 60% de </w:t>
      </w:r>
      <w:r w:rsidRPr="007B3BD9">
        <w:rPr>
          <w:rFonts w:ascii="Times New Roman" w:hAnsi="Times New Roman" w:cs="Times New Roman"/>
          <w:sz w:val="24"/>
          <w:szCs w:val="24"/>
        </w:rPr>
        <w:lastRenderedPageBreak/>
        <w:t>ces produits sont non homologués (</w:t>
      </w:r>
      <w:r w:rsidR="00645F2B" w:rsidRPr="007B3BD9">
        <w:rPr>
          <w:rFonts w:ascii="Times New Roman" w:hAnsi="Times New Roman" w:cs="Times New Roman"/>
          <w:sz w:val="24"/>
          <w:szCs w:val="24"/>
        </w:rPr>
        <w:t>OUEDRAOGO</w:t>
      </w:r>
      <w:r w:rsidRPr="007B3BD9">
        <w:rPr>
          <w:rFonts w:ascii="Times New Roman" w:hAnsi="Times New Roman" w:cs="Times New Roman"/>
          <w:sz w:val="24"/>
          <w:szCs w:val="24"/>
        </w:rPr>
        <w:t xml:space="preserve">, </w:t>
      </w:r>
      <w:r w:rsidRPr="007B3BD9">
        <w:rPr>
          <w:rFonts w:ascii="Times New Roman" w:hAnsi="Times New Roman" w:cs="Times New Roman"/>
          <w:i/>
          <w:sz w:val="24"/>
          <w:szCs w:val="24"/>
        </w:rPr>
        <w:t>et al</w:t>
      </w:r>
      <w:r w:rsidRPr="007B3BD9">
        <w:rPr>
          <w:rFonts w:ascii="Times New Roman" w:hAnsi="Times New Roman" w:cs="Times New Roman"/>
          <w:sz w:val="24"/>
          <w:szCs w:val="24"/>
        </w:rPr>
        <w:t xml:space="preserve">., 2019). Cette situation </w:t>
      </w:r>
      <w:r w:rsidR="004C4CA0" w:rsidRPr="007B3BD9">
        <w:rPr>
          <w:rFonts w:ascii="Times New Roman" w:hAnsi="Times New Roman" w:cs="Times New Roman"/>
          <w:sz w:val="24"/>
          <w:szCs w:val="24"/>
        </w:rPr>
        <w:t>conduit à s’interroger</w:t>
      </w:r>
      <w:r w:rsidR="00AD03A0" w:rsidRPr="007B3BD9">
        <w:rPr>
          <w:rFonts w:ascii="Times New Roman" w:hAnsi="Times New Roman" w:cs="Times New Roman"/>
          <w:sz w:val="24"/>
          <w:szCs w:val="24"/>
        </w:rPr>
        <w:t xml:space="preserve"> sur l’effet de ces pratiques sur la san</w:t>
      </w:r>
      <w:r w:rsidR="002C03F9" w:rsidRPr="007B3BD9">
        <w:rPr>
          <w:rFonts w:ascii="Times New Roman" w:hAnsi="Times New Roman" w:cs="Times New Roman"/>
          <w:sz w:val="24"/>
          <w:szCs w:val="24"/>
        </w:rPr>
        <w:t>té humaine et environnementale.</w:t>
      </w:r>
      <w:r w:rsidR="00172664" w:rsidRPr="007B3BD9">
        <w:rPr>
          <w:rFonts w:ascii="Times New Roman" w:hAnsi="Times New Roman" w:cs="Times New Roman"/>
          <w:sz w:val="24"/>
          <w:szCs w:val="24"/>
        </w:rPr>
        <w:t xml:space="preserve"> </w:t>
      </w:r>
      <w:r w:rsidR="00BF1318" w:rsidRPr="007B3BD9">
        <w:rPr>
          <w:rFonts w:ascii="Times New Roman" w:hAnsi="Times New Roman" w:cs="Times New Roman"/>
          <w:sz w:val="24"/>
          <w:szCs w:val="24"/>
        </w:rPr>
        <w:t xml:space="preserve">Cette question fonde sa pertinence à travers l’importance stratégique croissante </w:t>
      </w:r>
      <w:r w:rsidR="00172664" w:rsidRPr="007B3BD9">
        <w:rPr>
          <w:rFonts w:ascii="Times New Roman" w:hAnsi="Times New Roman" w:cs="Times New Roman"/>
          <w:sz w:val="24"/>
          <w:szCs w:val="24"/>
        </w:rPr>
        <w:t xml:space="preserve">du </w:t>
      </w:r>
      <w:r w:rsidR="001E7918" w:rsidRPr="007B3BD9">
        <w:rPr>
          <w:rFonts w:ascii="Times New Roman" w:hAnsi="Times New Roman" w:cs="Times New Roman"/>
          <w:sz w:val="24"/>
          <w:szCs w:val="24"/>
        </w:rPr>
        <w:t xml:space="preserve">secteur maraîcher </w:t>
      </w:r>
      <w:r w:rsidR="00172664" w:rsidRPr="007B3BD9">
        <w:rPr>
          <w:rFonts w:ascii="Times New Roman" w:hAnsi="Times New Roman" w:cs="Times New Roman"/>
          <w:sz w:val="24"/>
          <w:szCs w:val="24"/>
        </w:rPr>
        <w:t xml:space="preserve">pour relever les défis de sécurité alimentaire et nutritionnelle et de réduction de la pauvreté </w:t>
      </w:r>
      <w:r w:rsidR="00AD03A0" w:rsidRPr="007B3BD9">
        <w:rPr>
          <w:rFonts w:ascii="Times New Roman" w:hAnsi="Times New Roman" w:cs="Times New Roman"/>
          <w:sz w:val="24"/>
          <w:szCs w:val="24"/>
        </w:rPr>
        <w:t>en Afrique sub-saharienne, particulièrement touchée par les aléas climatiques</w:t>
      </w:r>
      <w:r w:rsidR="00BF1318" w:rsidRPr="007B3BD9">
        <w:rPr>
          <w:rFonts w:ascii="Times New Roman" w:hAnsi="Times New Roman" w:cs="Times New Roman"/>
          <w:sz w:val="24"/>
          <w:szCs w:val="24"/>
        </w:rPr>
        <w:t xml:space="preserve"> </w:t>
      </w:r>
      <w:r w:rsidR="00CF42A1" w:rsidRPr="007B3BD9">
        <w:rPr>
          <w:rFonts w:ascii="Times New Roman" w:hAnsi="Times New Roman" w:cs="Times New Roman"/>
          <w:sz w:val="24"/>
          <w:szCs w:val="24"/>
        </w:rPr>
        <w:t>et ses</w:t>
      </w:r>
      <w:r w:rsidR="00BF1318" w:rsidRPr="007B3BD9">
        <w:rPr>
          <w:rFonts w:ascii="Times New Roman" w:hAnsi="Times New Roman" w:cs="Times New Roman"/>
          <w:sz w:val="24"/>
          <w:szCs w:val="24"/>
        </w:rPr>
        <w:t xml:space="preserve"> corollaires </w:t>
      </w:r>
      <w:r w:rsidR="00CF42A1" w:rsidRPr="007B3BD9">
        <w:rPr>
          <w:rFonts w:ascii="Times New Roman" w:hAnsi="Times New Roman" w:cs="Times New Roman"/>
          <w:sz w:val="24"/>
          <w:szCs w:val="24"/>
        </w:rPr>
        <w:t>de</w:t>
      </w:r>
      <w:r w:rsidR="00BF1318" w:rsidRPr="007B3BD9">
        <w:rPr>
          <w:rFonts w:ascii="Times New Roman" w:hAnsi="Times New Roman" w:cs="Times New Roman"/>
          <w:sz w:val="24"/>
          <w:szCs w:val="24"/>
        </w:rPr>
        <w:t xml:space="preserve"> déficits de production</w:t>
      </w:r>
      <w:r w:rsidR="00CF42A1" w:rsidRPr="007B3BD9">
        <w:rPr>
          <w:rFonts w:ascii="Times New Roman" w:hAnsi="Times New Roman" w:cs="Times New Roman"/>
          <w:sz w:val="24"/>
          <w:szCs w:val="24"/>
        </w:rPr>
        <w:t xml:space="preserve"> alimentaire</w:t>
      </w:r>
      <w:r w:rsidR="001E7918" w:rsidRPr="007B3BD9">
        <w:rPr>
          <w:rFonts w:ascii="Times New Roman" w:hAnsi="Times New Roman" w:cs="Times New Roman"/>
          <w:sz w:val="24"/>
          <w:szCs w:val="24"/>
        </w:rPr>
        <w:t xml:space="preserve">. En effet, </w:t>
      </w:r>
      <w:r w:rsidR="00BF1318" w:rsidRPr="007B3BD9">
        <w:rPr>
          <w:rFonts w:ascii="Times New Roman" w:hAnsi="Times New Roman" w:cs="Times New Roman"/>
          <w:sz w:val="24"/>
          <w:szCs w:val="24"/>
        </w:rPr>
        <w:t xml:space="preserve">le secteur maraicher </w:t>
      </w:r>
      <w:r w:rsidR="001E7918" w:rsidRPr="007B3BD9">
        <w:rPr>
          <w:rFonts w:ascii="Times New Roman" w:hAnsi="Times New Roman" w:cs="Times New Roman"/>
          <w:sz w:val="24"/>
          <w:szCs w:val="24"/>
        </w:rPr>
        <w:t>emploie directement plus de 600.000 personnes, dont 35% de femmes</w:t>
      </w:r>
      <w:r w:rsidR="00BF1318" w:rsidRPr="007B3BD9">
        <w:rPr>
          <w:rFonts w:ascii="Times New Roman" w:hAnsi="Times New Roman" w:cs="Times New Roman"/>
          <w:sz w:val="24"/>
          <w:szCs w:val="24"/>
        </w:rPr>
        <w:t>, procure</w:t>
      </w:r>
      <w:r w:rsidR="001E7918" w:rsidRPr="007B3BD9">
        <w:rPr>
          <w:rFonts w:ascii="Times New Roman" w:hAnsi="Times New Roman" w:cs="Times New Roman"/>
          <w:sz w:val="24"/>
          <w:szCs w:val="24"/>
        </w:rPr>
        <w:t xml:space="preserve"> un revenu annuel moyen </w:t>
      </w:r>
      <w:r w:rsidR="00BF1318" w:rsidRPr="007B3BD9">
        <w:rPr>
          <w:rFonts w:ascii="Times New Roman" w:hAnsi="Times New Roman" w:cs="Times New Roman"/>
          <w:sz w:val="24"/>
          <w:szCs w:val="24"/>
        </w:rPr>
        <w:t>variant</w:t>
      </w:r>
      <w:r w:rsidR="001E7918" w:rsidRPr="007B3BD9">
        <w:rPr>
          <w:rFonts w:ascii="Times New Roman" w:hAnsi="Times New Roman" w:cs="Times New Roman"/>
          <w:sz w:val="24"/>
          <w:szCs w:val="24"/>
        </w:rPr>
        <w:t xml:space="preserve"> entre 500.000 FCFA (environ 760 €/an) et 1.000.000 de FCFA (environ 1.500</w:t>
      </w:r>
      <w:r w:rsidR="00B13306" w:rsidRPr="007B3BD9">
        <w:rPr>
          <w:rFonts w:ascii="Times New Roman" w:hAnsi="Times New Roman" w:cs="Times New Roman"/>
          <w:sz w:val="24"/>
          <w:szCs w:val="24"/>
        </w:rPr>
        <w:t xml:space="preserve"> </w:t>
      </w:r>
      <w:r w:rsidR="001E7918" w:rsidRPr="007B3BD9">
        <w:rPr>
          <w:rFonts w:ascii="Times New Roman" w:hAnsi="Times New Roman" w:cs="Times New Roman"/>
          <w:sz w:val="24"/>
          <w:szCs w:val="24"/>
        </w:rPr>
        <w:t xml:space="preserve">€/an) </w:t>
      </w:r>
      <w:r w:rsidR="00BF1318" w:rsidRPr="007B3BD9">
        <w:rPr>
          <w:rFonts w:ascii="Times New Roman" w:hAnsi="Times New Roman" w:cs="Times New Roman"/>
          <w:sz w:val="24"/>
          <w:szCs w:val="24"/>
        </w:rPr>
        <w:t xml:space="preserve">et contribue à plus de </w:t>
      </w:r>
      <w:r w:rsidR="001E7918" w:rsidRPr="007B3BD9">
        <w:rPr>
          <w:rFonts w:ascii="Times New Roman" w:hAnsi="Times New Roman" w:cs="Times New Roman"/>
          <w:sz w:val="24"/>
          <w:szCs w:val="24"/>
        </w:rPr>
        <w:t xml:space="preserve">3% </w:t>
      </w:r>
      <w:r w:rsidR="00BF1318" w:rsidRPr="007B3BD9">
        <w:rPr>
          <w:rFonts w:ascii="Times New Roman" w:hAnsi="Times New Roman" w:cs="Times New Roman"/>
          <w:sz w:val="24"/>
          <w:szCs w:val="24"/>
        </w:rPr>
        <w:t>a</w:t>
      </w:r>
      <w:r w:rsidR="004C4CA0" w:rsidRPr="007B3BD9">
        <w:rPr>
          <w:rFonts w:ascii="Times New Roman" w:hAnsi="Times New Roman" w:cs="Times New Roman"/>
          <w:sz w:val="24"/>
          <w:szCs w:val="24"/>
        </w:rPr>
        <w:t>u PIB (MAH, 2011)</w:t>
      </w:r>
      <w:r w:rsidR="00775E63" w:rsidRPr="007B3BD9">
        <w:rPr>
          <w:rFonts w:ascii="Times New Roman" w:hAnsi="Times New Roman" w:cs="Times New Roman"/>
          <w:sz w:val="24"/>
          <w:szCs w:val="24"/>
        </w:rPr>
        <w:t>.</w:t>
      </w:r>
      <w:r w:rsidR="0041331A" w:rsidRPr="007B3BD9">
        <w:rPr>
          <w:rFonts w:ascii="Times New Roman" w:hAnsi="Times New Roman" w:cs="Times New Roman"/>
          <w:sz w:val="24"/>
          <w:szCs w:val="24"/>
        </w:rPr>
        <w:t xml:space="preserve"> </w:t>
      </w:r>
    </w:p>
    <w:p w14:paraId="71C90FFE" w14:textId="768C07E3" w:rsidR="007B1CEB" w:rsidRPr="007B3BD9" w:rsidRDefault="00831EC3" w:rsidP="00C12DB0">
      <w:pPr>
        <w:spacing w:after="120" w:line="240" w:lineRule="auto"/>
        <w:rPr>
          <w:rFonts w:ascii="Times New Roman" w:hAnsi="Times New Roman" w:cs="Times New Roman"/>
          <w:sz w:val="24"/>
          <w:szCs w:val="24"/>
        </w:rPr>
      </w:pPr>
      <w:r w:rsidRPr="007B3BD9">
        <w:rPr>
          <w:rFonts w:ascii="Times New Roman" w:hAnsi="Times New Roman" w:cs="Times New Roman"/>
          <w:sz w:val="24"/>
          <w:szCs w:val="24"/>
        </w:rPr>
        <w:t xml:space="preserve">Cette importance stratégique du secteur maraicher révèle </w:t>
      </w:r>
      <w:r w:rsidR="00675207" w:rsidRPr="007B3BD9">
        <w:rPr>
          <w:rFonts w:ascii="Times New Roman" w:hAnsi="Times New Roman" w:cs="Times New Roman"/>
          <w:sz w:val="24"/>
          <w:szCs w:val="24"/>
        </w:rPr>
        <w:t xml:space="preserve">toute </w:t>
      </w:r>
      <w:r w:rsidRPr="007B3BD9">
        <w:rPr>
          <w:rFonts w:ascii="Times New Roman" w:hAnsi="Times New Roman" w:cs="Times New Roman"/>
          <w:sz w:val="24"/>
          <w:szCs w:val="24"/>
        </w:rPr>
        <w:t xml:space="preserve">la nécessité d’assurer sa durabilité environnementale à travers par exemple </w:t>
      </w:r>
      <w:r w:rsidR="00675207" w:rsidRPr="007B3BD9">
        <w:rPr>
          <w:rFonts w:ascii="Times New Roman" w:hAnsi="Times New Roman" w:cs="Times New Roman"/>
          <w:sz w:val="24"/>
          <w:szCs w:val="24"/>
        </w:rPr>
        <w:t>la mise</w:t>
      </w:r>
      <w:r w:rsidRPr="007B3BD9">
        <w:rPr>
          <w:rFonts w:ascii="Times New Roman" w:hAnsi="Times New Roman" w:cs="Times New Roman"/>
          <w:sz w:val="24"/>
          <w:szCs w:val="24"/>
        </w:rPr>
        <w:t xml:space="preserve"> au point des règlementations en matière d’utilisation des pesticides. </w:t>
      </w:r>
      <w:r w:rsidR="00D752EF" w:rsidRPr="007B3BD9">
        <w:rPr>
          <w:rFonts w:ascii="Times New Roman" w:hAnsi="Times New Roman" w:cs="Times New Roman"/>
          <w:sz w:val="24"/>
          <w:szCs w:val="24"/>
        </w:rPr>
        <w:t>Dans cette optique, il devient nécessaire de connaitre les niveaux de risques liés à</w:t>
      </w:r>
      <w:r w:rsidRPr="007B3BD9">
        <w:rPr>
          <w:rFonts w:ascii="Times New Roman" w:hAnsi="Times New Roman" w:cs="Times New Roman"/>
          <w:sz w:val="24"/>
          <w:szCs w:val="24"/>
        </w:rPr>
        <w:t xml:space="preserve"> </w:t>
      </w:r>
      <w:r w:rsidR="00D752EF" w:rsidRPr="007B3BD9">
        <w:rPr>
          <w:rFonts w:ascii="Times New Roman" w:hAnsi="Times New Roman" w:cs="Times New Roman"/>
          <w:sz w:val="24"/>
          <w:szCs w:val="24"/>
        </w:rPr>
        <w:t>l’utilisation des pesticides. La détermination des risques peut servir de critère de choix de pesticides et de pratiques de traitements des cultures en vue de minimiser leur impact sur l’environnement et sur l’homme (</w:t>
      </w:r>
      <w:r w:rsidR="00645F2B" w:rsidRPr="007B3BD9">
        <w:rPr>
          <w:rFonts w:ascii="Times New Roman" w:hAnsi="Times New Roman" w:cs="Times New Roman"/>
          <w:sz w:val="24"/>
          <w:szCs w:val="24"/>
        </w:rPr>
        <w:t xml:space="preserve">MAMY </w:t>
      </w:r>
      <w:r w:rsidR="00D752EF" w:rsidRPr="007B3BD9">
        <w:rPr>
          <w:rFonts w:ascii="Times New Roman" w:hAnsi="Times New Roman" w:cs="Times New Roman"/>
          <w:i/>
          <w:sz w:val="24"/>
          <w:szCs w:val="24"/>
        </w:rPr>
        <w:t>et al</w:t>
      </w:r>
      <w:r w:rsidR="00D752EF" w:rsidRPr="007B3BD9">
        <w:rPr>
          <w:rFonts w:ascii="Times New Roman" w:hAnsi="Times New Roman" w:cs="Times New Roman"/>
          <w:sz w:val="24"/>
          <w:szCs w:val="24"/>
        </w:rPr>
        <w:t xml:space="preserve">., 2008). Elle peut aussi servir pour sensibiliser les producteurs, surtout quand on sait que </w:t>
      </w:r>
      <w:r w:rsidR="00BA4C01" w:rsidRPr="007B3BD9">
        <w:rPr>
          <w:rFonts w:ascii="Times New Roman" w:hAnsi="Times New Roman" w:cs="Times New Roman"/>
          <w:sz w:val="24"/>
          <w:szCs w:val="24"/>
        </w:rPr>
        <w:t>ceux-ci</w:t>
      </w:r>
      <w:r w:rsidR="00D752EF" w:rsidRPr="007B3BD9">
        <w:rPr>
          <w:rFonts w:ascii="Times New Roman" w:hAnsi="Times New Roman" w:cs="Times New Roman"/>
          <w:sz w:val="24"/>
          <w:szCs w:val="24"/>
        </w:rPr>
        <w:t xml:space="preserve"> ont </w:t>
      </w:r>
      <w:r w:rsidR="00BA4C01" w:rsidRPr="007B3BD9">
        <w:rPr>
          <w:rFonts w:ascii="Times New Roman" w:hAnsi="Times New Roman" w:cs="Times New Roman"/>
          <w:sz w:val="24"/>
          <w:szCs w:val="24"/>
        </w:rPr>
        <w:t xml:space="preserve">encore </w:t>
      </w:r>
      <w:r w:rsidR="00D752EF" w:rsidRPr="007B3BD9">
        <w:rPr>
          <w:rFonts w:ascii="Times New Roman" w:hAnsi="Times New Roman" w:cs="Times New Roman"/>
          <w:sz w:val="24"/>
          <w:szCs w:val="24"/>
        </w:rPr>
        <w:t>une connaissance faible e</w:t>
      </w:r>
      <w:r w:rsidR="00BA4C01" w:rsidRPr="007B3BD9">
        <w:rPr>
          <w:rFonts w:ascii="Times New Roman" w:hAnsi="Times New Roman" w:cs="Times New Roman"/>
          <w:sz w:val="24"/>
          <w:szCs w:val="24"/>
        </w:rPr>
        <w:t xml:space="preserve">t imprécise des effets des pesticides </w:t>
      </w:r>
      <w:r w:rsidR="00D752EF" w:rsidRPr="007B3BD9">
        <w:rPr>
          <w:rFonts w:ascii="Times New Roman" w:hAnsi="Times New Roman" w:cs="Times New Roman"/>
          <w:sz w:val="24"/>
          <w:szCs w:val="24"/>
        </w:rPr>
        <w:t xml:space="preserve">sur l’environnement. </w:t>
      </w:r>
      <w:r w:rsidR="00BA4C01" w:rsidRPr="007B3BD9">
        <w:rPr>
          <w:rFonts w:ascii="Times New Roman" w:hAnsi="Times New Roman" w:cs="Times New Roman"/>
          <w:sz w:val="24"/>
          <w:szCs w:val="24"/>
        </w:rPr>
        <w:t xml:space="preserve">Une étude récente réalisée sur divers milieux maraichers à Bobo-Dioulasso (Burkina Faso) a permis de constater que </w:t>
      </w:r>
      <w:r w:rsidR="00D752EF" w:rsidRPr="007B3BD9">
        <w:rPr>
          <w:rFonts w:ascii="Times New Roman" w:hAnsi="Times New Roman" w:cs="Times New Roman"/>
          <w:sz w:val="24"/>
          <w:szCs w:val="24"/>
        </w:rPr>
        <w:t xml:space="preserve">50%  </w:t>
      </w:r>
      <w:r w:rsidR="00BA4C01" w:rsidRPr="007B3BD9">
        <w:rPr>
          <w:rFonts w:ascii="Times New Roman" w:hAnsi="Times New Roman" w:cs="Times New Roman"/>
          <w:sz w:val="24"/>
          <w:szCs w:val="24"/>
        </w:rPr>
        <w:t xml:space="preserve"> à</w:t>
      </w:r>
      <w:r w:rsidR="00D752EF" w:rsidRPr="007B3BD9">
        <w:rPr>
          <w:rFonts w:ascii="Times New Roman" w:hAnsi="Times New Roman" w:cs="Times New Roman"/>
          <w:sz w:val="24"/>
          <w:szCs w:val="24"/>
        </w:rPr>
        <w:t xml:space="preserve"> 67% des producteurs en milieu urbain pensent que les pesticides n’ont aucun effet néfaste respectivement sur l’eau et le sol</w:t>
      </w:r>
      <w:r w:rsidR="006546F0" w:rsidRPr="007B3BD9">
        <w:rPr>
          <w:rFonts w:ascii="Times New Roman" w:hAnsi="Times New Roman" w:cs="Times New Roman"/>
          <w:sz w:val="24"/>
          <w:szCs w:val="24"/>
        </w:rPr>
        <w:t xml:space="preserve"> (</w:t>
      </w:r>
      <w:r w:rsidR="00645F2B" w:rsidRPr="007B3BD9">
        <w:rPr>
          <w:rFonts w:ascii="Times New Roman" w:hAnsi="Times New Roman" w:cs="Times New Roman"/>
          <w:sz w:val="24"/>
          <w:szCs w:val="24"/>
        </w:rPr>
        <w:t xml:space="preserve">OUEDRAOGO </w:t>
      </w:r>
      <w:r w:rsidR="006546F0" w:rsidRPr="007B3BD9">
        <w:rPr>
          <w:rFonts w:ascii="Times New Roman" w:hAnsi="Times New Roman" w:cs="Times New Roman"/>
          <w:i/>
          <w:sz w:val="24"/>
          <w:szCs w:val="24"/>
        </w:rPr>
        <w:t>et al.</w:t>
      </w:r>
      <w:r w:rsidR="006546F0" w:rsidRPr="007B3BD9">
        <w:rPr>
          <w:rFonts w:ascii="Times New Roman" w:hAnsi="Times New Roman" w:cs="Times New Roman"/>
          <w:sz w:val="24"/>
          <w:szCs w:val="24"/>
        </w:rPr>
        <w:t xml:space="preserve">, 2019). </w:t>
      </w:r>
      <w:r w:rsidR="0041331A" w:rsidRPr="007B3BD9">
        <w:rPr>
          <w:rFonts w:ascii="Times New Roman" w:hAnsi="Times New Roman" w:cs="Times New Roman"/>
          <w:sz w:val="24"/>
          <w:szCs w:val="24"/>
        </w:rPr>
        <w:t>Cependant, l’utilisation des pesticides, singulièrement remarquable dans les cultures, comporte des risques sanitaires (</w:t>
      </w:r>
      <w:r w:rsidR="00645F2B" w:rsidRPr="007B3BD9">
        <w:rPr>
          <w:rFonts w:ascii="Times New Roman" w:hAnsi="Times New Roman" w:cs="Times New Roman"/>
          <w:sz w:val="24"/>
          <w:szCs w:val="24"/>
        </w:rPr>
        <w:t>LEHMAN</w:t>
      </w:r>
      <w:r w:rsidR="00B756EE" w:rsidRPr="007B3BD9">
        <w:rPr>
          <w:rFonts w:ascii="Times New Roman" w:hAnsi="Times New Roman" w:cs="Times New Roman"/>
          <w:sz w:val="24"/>
          <w:szCs w:val="24"/>
        </w:rPr>
        <w:t>N</w:t>
      </w:r>
      <w:r w:rsidR="00645F2B" w:rsidRPr="007B3BD9">
        <w:rPr>
          <w:rFonts w:ascii="Times New Roman" w:hAnsi="Times New Roman" w:cs="Times New Roman"/>
          <w:sz w:val="24"/>
          <w:szCs w:val="24"/>
        </w:rPr>
        <w:t xml:space="preserve"> </w:t>
      </w:r>
      <w:r w:rsidR="00694A17" w:rsidRPr="007B3BD9">
        <w:rPr>
          <w:rFonts w:ascii="Times New Roman" w:hAnsi="Times New Roman" w:cs="Times New Roman"/>
          <w:i/>
          <w:sz w:val="24"/>
          <w:szCs w:val="24"/>
        </w:rPr>
        <w:t>et al</w:t>
      </w:r>
      <w:r w:rsidR="00694A17" w:rsidRPr="007B3BD9">
        <w:rPr>
          <w:rFonts w:ascii="Times New Roman" w:hAnsi="Times New Roman" w:cs="Times New Roman"/>
          <w:sz w:val="24"/>
          <w:szCs w:val="24"/>
        </w:rPr>
        <w:t>., 2017 ;</w:t>
      </w:r>
      <w:r w:rsidR="007A5BEF" w:rsidRPr="007B3BD9">
        <w:rPr>
          <w:rFonts w:ascii="Times New Roman" w:hAnsi="Times New Roman" w:cs="Times New Roman"/>
          <w:sz w:val="24"/>
          <w:szCs w:val="24"/>
        </w:rPr>
        <w:t xml:space="preserve"> </w:t>
      </w:r>
      <w:r w:rsidR="00645F2B" w:rsidRPr="007B3BD9">
        <w:rPr>
          <w:rFonts w:ascii="Times New Roman" w:hAnsi="Times New Roman" w:cs="Times New Roman"/>
          <w:sz w:val="24"/>
          <w:szCs w:val="24"/>
        </w:rPr>
        <w:t xml:space="preserve">SON </w:t>
      </w:r>
      <w:r w:rsidR="007A5BEF" w:rsidRPr="007B3BD9">
        <w:rPr>
          <w:rFonts w:ascii="Times New Roman" w:hAnsi="Times New Roman" w:cs="Times New Roman"/>
          <w:i/>
          <w:sz w:val="24"/>
          <w:szCs w:val="24"/>
        </w:rPr>
        <w:t>et al</w:t>
      </w:r>
      <w:r w:rsidR="007A5BEF" w:rsidRPr="007B3BD9">
        <w:rPr>
          <w:rFonts w:ascii="Times New Roman" w:hAnsi="Times New Roman" w:cs="Times New Roman"/>
          <w:sz w:val="24"/>
          <w:szCs w:val="24"/>
        </w:rPr>
        <w:t>., 20</w:t>
      </w:r>
      <w:r w:rsidR="00694A17" w:rsidRPr="007B3BD9">
        <w:rPr>
          <w:rFonts w:ascii="Times New Roman" w:hAnsi="Times New Roman" w:cs="Times New Roman"/>
          <w:sz w:val="24"/>
          <w:szCs w:val="24"/>
        </w:rPr>
        <w:t>17</w:t>
      </w:r>
      <w:r w:rsidR="004C4CA0" w:rsidRPr="007B3BD9">
        <w:rPr>
          <w:rFonts w:ascii="Times New Roman" w:hAnsi="Times New Roman" w:cs="Times New Roman"/>
          <w:sz w:val="24"/>
          <w:szCs w:val="24"/>
        </w:rPr>
        <w:t>)</w:t>
      </w:r>
      <w:r w:rsidR="00041D20" w:rsidRPr="007B3BD9">
        <w:rPr>
          <w:rFonts w:ascii="Times New Roman" w:hAnsi="Times New Roman" w:cs="Times New Roman"/>
          <w:sz w:val="24"/>
          <w:szCs w:val="24"/>
        </w:rPr>
        <w:t xml:space="preserve">. </w:t>
      </w:r>
    </w:p>
    <w:p w14:paraId="2E06D35D" w14:textId="4DB77100" w:rsidR="00E4563A" w:rsidRDefault="00BA4C01" w:rsidP="00EB7D2E">
      <w:pPr>
        <w:spacing w:line="240" w:lineRule="auto"/>
        <w:rPr>
          <w:rFonts w:ascii="Times New Roman" w:hAnsi="Times New Roman" w:cs="Times New Roman"/>
          <w:sz w:val="24"/>
          <w:szCs w:val="24"/>
        </w:rPr>
      </w:pPr>
      <w:r w:rsidRPr="007B3BD9">
        <w:rPr>
          <w:rFonts w:ascii="Times New Roman" w:hAnsi="Times New Roman" w:cs="Times New Roman"/>
          <w:sz w:val="24"/>
          <w:szCs w:val="24"/>
        </w:rPr>
        <w:t>A</w:t>
      </w:r>
      <w:r w:rsidR="007B1CEB" w:rsidRPr="007B3BD9">
        <w:rPr>
          <w:rFonts w:ascii="Times New Roman" w:hAnsi="Times New Roman" w:cs="Times New Roman"/>
          <w:sz w:val="24"/>
          <w:szCs w:val="24"/>
        </w:rPr>
        <w:t xml:space="preserve">fin d’évaluer les risques liés </w:t>
      </w:r>
      <w:r w:rsidR="00AA5462" w:rsidRPr="007B3BD9">
        <w:rPr>
          <w:rFonts w:ascii="Times New Roman" w:hAnsi="Times New Roman" w:cs="Times New Roman"/>
          <w:sz w:val="24"/>
          <w:szCs w:val="24"/>
        </w:rPr>
        <w:t>à l’usage des pesticides</w:t>
      </w:r>
      <w:r w:rsidRPr="007B3BD9">
        <w:rPr>
          <w:rFonts w:ascii="Times New Roman" w:hAnsi="Times New Roman" w:cs="Times New Roman"/>
          <w:sz w:val="24"/>
          <w:szCs w:val="24"/>
        </w:rPr>
        <w:t>, des modèles numériques et des</w:t>
      </w:r>
      <w:r w:rsidR="004C4CA0" w:rsidRPr="007B3BD9">
        <w:rPr>
          <w:rFonts w:ascii="Times New Roman" w:hAnsi="Times New Roman" w:cs="Times New Roman"/>
          <w:sz w:val="24"/>
          <w:szCs w:val="24"/>
        </w:rPr>
        <w:t xml:space="preserve"> indicateurs ont été développés</w:t>
      </w:r>
      <w:r w:rsidR="007B1CEB" w:rsidRPr="007B3BD9">
        <w:rPr>
          <w:rFonts w:ascii="Times New Roman" w:hAnsi="Times New Roman" w:cs="Times New Roman"/>
          <w:sz w:val="24"/>
          <w:szCs w:val="24"/>
        </w:rPr>
        <w:t>, notamment</w:t>
      </w:r>
      <w:r w:rsidRPr="007B3BD9">
        <w:rPr>
          <w:rFonts w:ascii="Times New Roman" w:hAnsi="Times New Roman" w:cs="Times New Roman"/>
          <w:sz w:val="24"/>
          <w:szCs w:val="24"/>
        </w:rPr>
        <w:t xml:space="preserve"> dans</w:t>
      </w:r>
      <w:r w:rsidR="007B1CEB" w:rsidRPr="007B3BD9">
        <w:rPr>
          <w:rFonts w:ascii="Times New Roman" w:hAnsi="Times New Roman" w:cs="Times New Roman"/>
          <w:sz w:val="24"/>
          <w:szCs w:val="24"/>
        </w:rPr>
        <w:t xml:space="preserve"> </w:t>
      </w:r>
      <w:r w:rsidR="004C4CA0" w:rsidRPr="007B3BD9">
        <w:rPr>
          <w:rFonts w:ascii="Times New Roman" w:hAnsi="Times New Roman" w:cs="Times New Roman"/>
          <w:sz w:val="24"/>
          <w:szCs w:val="24"/>
        </w:rPr>
        <w:t>divers</w:t>
      </w:r>
      <w:r w:rsidR="007B1CEB" w:rsidRPr="007B3BD9">
        <w:rPr>
          <w:rFonts w:ascii="Times New Roman" w:hAnsi="Times New Roman" w:cs="Times New Roman"/>
          <w:sz w:val="24"/>
          <w:szCs w:val="24"/>
        </w:rPr>
        <w:t xml:space="preserve"> pays du nord. Ainsi, le modèle HAIR (</w:t>
      </w:r>
      <w:proofErr w:type="spellStart"/>
      <w:r w:rsidR="007B1CEB" w:rsidRPr="007B3BD9">
        <w:rPr>
          <w:rFonts w:ascii="Times New Roman" w:hAnsi="Times New Roman" w:cs="Times New Roman"/>
          <w:sz w:val="24"/>
          <w:szCs w:val="24"/>
        </w:rPr>
        <w:t>HArmonised</w:t>
      </w:r>
      <w:proofErr w:type="spellEnd"/>
      <w:r w:rsidR="007B1CEB" w:rsidRPr="007B3BD9">
        <w:rPr>
          <w:rFonts w:ascii="Times New Roman" w:hAnsi="Times New Roman" w:cs="Times New Roman"/>
          <w:sz w:val="24"/>
          <w:szCs w:val="24"/>
        </w:rPr>
        <w:t xml:space="preserve"> </w:t>
      </w:r>
      <w:proofErr w:type="spellStart"/>
      <w:r w:rsidR="007B1CEB" w:rsidRPr="007B3BD9">
        <w:rPr>
          <w:rFonts w:ascii="Times New Roman" w:hAnsi="Times New Roman" w:cs="Times New Roman"/>
          <w:sz w:val="24"/>
          <w:szCs w:val="24"/>
        </w:rPr>
        <w:t>environmental</w:t>
      </w:r>
      <w:proofErr w:type="spellEnd"/>
      <w:r w:rsidR="007B1CEB" w:rsidRPr="007B3BD9">
        <w:rPr>
          <w:rFonts w:ascii="Times New Roman" w:hAnsi="Times New Roman" w:cs="Times New Roman"/>
          <w:sz w:val="24"/>
          <w:szCs w:val="24"/>
        </w:rPr>
        <w:t xml:space="preserve"> </w:t>
      </w:r>
      <w:proofErr w:type="spellStart"/>
      <w:r w:rsidR="007B1CEB" w:rsidRPr="007B3BD9">
        <w:rPr>
          <w:rFonts w:ascii="Times New Roman" w:hAnsi="Times New Roman" w:cs="Times New Roman"/>
          <w:sz w:val="24"/>
          <w:szCs w:val="24"/>
        </w:rPr>
        <w:t>Indicators</w:t>
      </w:r>
      <w:proofErr w:type="spellEnd"/>
      <w:r w:rsidR="007B1CEB" w:rsidRPr="007B3BD9">
        <w:rPr>
          <w:rFonts w:ascii="Times New Roman" w:hAnsi="Times New Roman" w:cs="Times New Roman"/>
          <w:sz w:val="24"/>
          <w:szCs w:val="24"/>
        </w:rPr>
        <w:t xml:space="preserve"> for pesticide </w:t>
      </w:r>
      <w:proofErr w:type="spellStart"/>
      <w:r w:rsidR="007B1CEB" w:rsidRPr="007B3BD9">
        <w:rPr>
          <w:rFonts w:ascii="Times New Roman" w:hAnsi="Times New Roman" w:cs="Times New Roman"/>
          <w:sz w:val="24"/>
          <w:szCs w:val="24"/>
        </w:rPr>
        <w:t>Risk</w:t>
      </w:r>
      <w:proofErr w:type="spellEnd"/>
      <w:r w:rsidR="007B1CEB" w:rsidRPr="007B3BD9">
        <w:rPr>
          <w:rFonts w:ascii="Times New Roman" w:hAnsi="Times New Roman" w:cs="Times New Roman"/>
          <w:sz w:val="24"/>
          <w:szCs w:val="24"/>
        </w:rPr>
        <w:t>) a été développé afin d’évaluer l’efficacité des politiques de l’Union européenne en faveur d’une agriculture durable (</w:t>
      </w:r>
      <w:r w:rsidR="00645F2B" w:rsidRPr="007B3BD9">
        <w:rPr>
          <w:rFonts w:ascii="Times New Roman" w:hAnsi="Times New Roman" w:cs="Times New Roman"/>
          <w:sz w:val="24"/>
          <w:szCs w:val="24"/>
        </w:rPr>
        <w:t xml:space="preserve">KRUIJNE </w:t>
      </w:r>
      <w:r w:rsidR="007B1CEB" w:rsidRPr="007B3BD9">
        <w:rPr>
          <w:rFonts w:ascii="Times New Roman" w:hAnsi="Times New Roman" w:cs="Times New Roman"/>
          <w:i/>
          <w:sz w:val="24"/>
          <w:szCs w:val="24"/>
        </w:rPr>
        <w:t>et al</w:t>
      </w:r>
      <w:r w:rsidR="007B1CEB" w:rsidRPr="007B3BD9">
        <w:rPr>
          <w:rFonts w:ascii="Times New Roman" w:hAnsi="Times New Roman" w:cs="Times New Roman"/>
          <w:sz w:val="24"/>
          <w:szCs w:val="24"/>
        </w:rPr>
        <w:t xml:space="preserve">., 2011). L’indicateur </w:t>
      </w:r>
      <w:proofErr w:type="spellStart"/>
      <w:r w:rsidR="007B1CEB" w:rsidRPr="007B3BD9">
        <w:rPr>
          <w:rFonts w:ascii="Times New Roman" w:hAnsi="Times New Roman" w:cs="Times New Roman"/>
          <w:sz w:val="24"/>
          <w:szCs w:val="24"/>
        </w:rPr>
        <w:t>IRPeQ</w:t>
      </w:r>
      <w:proofErr w:type="spellEnd"/>
      <w:r w:rsidR="007B1CEB" w:rsidRPr="007B3BD9">
        <w:rPr>
          <w:rFonts w:ascii="Times New Roman" w:hAnsi="Times New Roman" w:cs="Times New Roman"/>
          <w:sz w:val="24"/>
          <w:szCs w:val="24"/>
        </w:rPr>
        <w:t xml:space="preserve"> (Indicateur de Risque des Pesticides du Québec) est un outil de diagnostic et d’aide à la décision conçu pour optimiser la gestion des produits phytosanitaires, développé par les ministères de l’agriculture et de l’environnement du Québec (</w:t>
      </w:r>
      <w:r w:rsidR="00645F2B" w:rsidRPr="007B3BD9">
        <w:rPr>
          <w:rFonts w:ascii="Times New Roman" w:hAnsi="Times New Roman" w:cs="Times New Roman"/>
          <w:bCs/>
          <w:sz w:val="24"/>
          <w:szCs w:val="24"/>
        </w:rPr>
        <w:t xml:space="preserve">SAMUEL </w:t>
      </w:r>
      <w:r w:rsidR="007B1CEB" w:rsidRPr="007B3BD9">
        <w:rPr>
          <w:rFonts w:ascii="Times New Roman" w:hAnsi="Times New Roman" w:cs="Times New Roman"/>
          <w:bCs/>
          <w:i/>
          <w:sz w:val="24"/>
          <w:szCs w:val="24"/>
        </w:rPr>
        <w:t>et al</w:t>
      </w:r>
      <w:r w:rsidR="007B1CEB" w:rsidRPr="007B3BD9">
        <w:rPr>
          <w:rFonts w:ascii="Times New Roman" w:hAnsi="Times New Roman" w:cs="Times New Roman"/>
          <w:bCs/>
          <w:sz w:val="24"/>
          <w:szCs w:val="24"/>
        </w:rPr>
        <w:t>., 2007)</w:t>
      </w:r>
      <w:r w:rsidR="007B1CEB" w:rsidRPr="007B3BD9">
        <w:rPr>
          <w:rFonts w:ascii="Times New Roman" w:hAnsi="Times New Roman" w:cs="Times New Roman"/>
          <w:sz w:val="24"/>
          <w:szCs w:val="24"/>
        </w:rPr>
        <w:t>. L’indicateur EPRIP (</w:t>
      </w:r>
      <w:proofErr w:type="spellStart"/>
      <w:r w:rsidR="007B1CEB" w:rsidRPr="007B3BD9">
        <w:rPr>
          <w:rFonts w:ascii="Times New Roman" w:hAnsi="Times New Roman" w:cs="Times New Roman"/>
          <w:sz w:val="24"/>
          <w:szCs w:val="24"/>
        </w:rPr>
        <w:t>Environmental</w:t>
      </w:r>
      <w:proofErr w:type="spellEnd"/>
      <w:r w:rsidR="007B1CEB" w:rsidRPr="007B3BD9">
        <w:rPr>
          <w:rFonts w:ascii="Times New Roman" w:hAnsi="Times New Roman" w:cs="Times New Roman"/>
          <w:sz w:val="24"/>
          <w:szCs w:val="24"/>
        </w:rPr>
        <w:t xml:space="preserve"> </w:t>
      </w:r>
      <w:proofErr w:type="spellStart"/>
      <w:r w:rsidR="007B1CEB" w:rsidRPr="007B3BD9">
        <w:rPr>
          <w:rFonts w:ascii="Times New Roman" w:hAnsi="Times New Roman" w:cs="Times New Roman"/>
          <w:sz w:val="24"/>
          <w:szCs w:val="24"/>
        </w:rPr>
        <w:t>Potential</w:t>
      </w:r>
      <w:proofErr w:type="spellEnd"/>
      <w:r w:rsidR="007B1CEB" w:rsidRPr="007B3BD9">
        <w:rPr>
          <w:rFonts w:ascii="Times New Roman" w:hAnsi="Times New Roman" w:cs="Times New Roman"/>
          <w:sz w:val="24"/>
          <w:szCs w:val="24"/>
        </w:rPr>
        <w:t xml:space="preserve"> </w:t>
      </w:r>
      <w:proofErr w:type="spellStart"/>
      <w:r w:rsidR="007B1CEB" w:rsidRPr="007B3BD9">
        <w:rPr>
          <w:rFonts w:ascii="Times New Roman" w:hAnsi="Times New Roman" w:cs="Times New Roman"/>
          <w:sz w:val="24"/>
          <w:szCs w:val="24"/>
        </w:rPr>
        <w:t>Risk</w:t>
      </w:r>
      <w:proofErr w:type="spellEnd"/>
      <w:r w:rsidR="007B1CEB" w:rsidRPr="007B3BD9">
        <w:rPr>
          <w:rFonts w:ascii="Times New Roman" w:hAnsi="Times New Roman" w:cs="Times New Roman"/>
          <w:sz w:val="24"/>
          <w:szCs w:val="24"/>
        </w:rPr>
        <w:t xml:space="preserve"> </w:t>
      </w:r>
      <w:proofErr w:type="spellStart"/>
      <w:r w:rsidR="007B1CEB" w:rsidRPr="007B3BD9">
        <w:rPr>
          <w:rFonts w:ascii="Times New Roman" w:hAnsi="Times New Roman" w:cs="Times New Roman"/>
          <w:sz w:val="24"/>
          <w:szCs w:val="24"/>
        </w:rPr>
        <w:t>Indicator</w:t>
      </w:r>
      <w:proofErr w:type="spellEnd"/>
      <w:r w:rsidR="007B1CEB" w:rsidRPr="007B3BD9">
        <w:rPr>
          <w:rFonts w:ascii="Times New Roman" w:hAnsi="Times New Roman" w:cs="Times New Roman"/>
          <w:sz w:val="24"/>
          <w:szCs w:val="24"/>
        </w:rPr>
        <w:t xml:space="preserve"> for Pesticide) a été développé en </w:t>
      </w:r>
      <w:r w:rsidR="004C4CA0" w:rsidRPr="007B3BD9">
        <w:rPr>
          <w:rFonts w:ascii="Times New Roman" w:hAnsi="Times New Roman" w:cs="Times New Roman"/>
          <w:sz w:val="24"/>
          <w:szCs w:val="24"/>
        </w:rPr>
        <w:t>Italie</w:t>
      </w:r>
      <w:r w:rsidR="007B1CEB" w:rsidRPr="007B3BD9">
        <w:rPr>
          <w:rFonts w:ascii="Times New Roman" w:hAnsi="Times New Roman" w:cs="Times New Roman"/>
          <w:sz w:val="24"/>
          <w:szCs w:val="24"/>
        </w:rPr>
        <w:t xml:space="preserve">, afin de fournir aux agriculteurs des conseils pour choisir les pesticides </w:t>
      </w:r>
      <w:r w:rsidR="00BA5DAB" w:rsidRPr="007B3BD9">
        <w:rPr>
          <w:rFonts w:ascii="Times New Roman" w:hAnsi="Times New Roman" w:cs="Times New Roman"/>
          <w:sz w:val="24"/>
          <w:szCs w:val="24"/>
        </w:rPr>
        <w:t xml:space="preserve">à moindre </w:t>
      </w:r>
      <w:r w:rsidR="007B1CEB" w:rsidRPr="007B3BD9">
        <w:rPr>
          <w:rFonts w:ascii="Times New Roman" w:hAnsi="Times New Roman" w:cs="Times New Roman"/>
          <w:sz w:val="24"/>
          <w:szCs w:val="24"/>
        </w:rPr>
        <w:t>impact sur l’environnement</w:t>
      </w:r>
      <w:r w:rsidR="00773036" w:rsidRPr="007B3BD9">
        <w:rPr>
          <w:rFonts w:ascii="Times New Roman" w:hAnsi="Times New Roman" w:cs="Times New Roman"/>
          <w:sz w:val="24"/>
          <w:szCs w:val="24"/>
        </w:rPr>
        <w:t xml:space="preserve"> (</w:t>
      </w:r>
      <w:r w:rsidR="00645F2B" w:rsidRPr="007B3BD9">
        <w:rPr>
          <w:rFonts w:ascii="Times New Roman" w:hAnsi="Times New Roman" w:cs="Times New Roman"/>
          <w:sz w:val="24"/>
          <w:szCs w:val="24"/>
        </w:rPr>
        <w:t xml:space="preserve">TREVISAN </w:t>
      </w:r>
      <w:r w:rsidR="00773036" w:rsidRPr="007B3BD9">
        <w:rPr>
          <w:rFonts w:ascii="Times New Roman" w:hAnsi="Times New Roman" w:cs="Times New Roman"/>
          <w:i/>
          <w:sz w:val="24"/>
          <w:szCs w:val="24"/>
        </w:rPr>
        <w:t>et</w:t>
      </w:r>
      <w:r w:rsidR="00773036" w:rsidRPr="007B3BD9">
        <w:rPr>
          <w:rFonts w:ascii="Times New Roman" w:hAnsi="Times New Roman" w:cs="Times New Roman"/>
          <w:sz w:val="24"/>
          <w:szCs w:val="24"/>
        </w:rPr>
        <w:t xml:space="preserve"> </w:t>
      </w:r>
      <w:r w:rsidR="00773036" w:rsidRPr="007B3BD9">
        <w:rPr>
          <w:rFonts w:ascii="Times New Roman" w:hAnsi="Times New Roman" w:cs="Times New Roman"/>
          <w:i/>
          <w:iCs/>
          <w:sz w:val="24"/>
          <w:szCs w:val="24"/>
        </w:rPr>
        <w:t>al.,</w:t>
      </w:r>
      <w:r w:rsidR="00773036" w:rsidRPr="007B3BD9">
        <w:rPr>
          <w:rFonts w:ascii="Times New Roman" w:hAnsi="Times New Roman" w:cs="Times New Roman"/>
          <w:sz w:val="24"/>
          <w:szCs w:val="24"/>
        </w:rPr>
        <w:t xml:space="preserve"> 2009)</w:t>
      </w:r>
      <w:r w:rsidR="007B1CEB" w:rsidRPr="007B3BD9">
        <w:rPr>
          <w:rFonts w:ascii="Times New Roman" w:hAnsi="Times New Roman" w:cs="Times New Roman"/>
          <w:sz w:val="24"/>
          <w:szCs w:val="24"/>
        </w:rPr>
        <w:t xml:space="preserve">. </w:t>
      </w:r>
      <w:r w:rsidR="00BA5DAB" w:rsidRPr="007B3BD9">
        <w:rPr>
          <w:rFonts w:ascii="Times New Roman" w:hAnsi="Times New Roman" w:cs="Times New Roman"/>
          <w:sz w:val="24"/>
          <w:szCs w:val="24"/>
        </w:rPr>
        <w:t xml:space="preserve">Au Burkina Faso, par contre, un outil d’aide </w:t>
      </w:r>
      <w:r w:rsidR="00321C22" w:rsidRPr="007B3BD9">
        <w:rPr>
          <w:rFonts w:ascii="Times New Roman" w:hAnsi="Times New Roman" w:cs="Times New Roman"/>
          <w:sz w:val="24"/>
          <w:szCs w:val="24"/>
        </w:rPr>
        <w:t>de</w:t>
      </w:r>
      <w:r w:rsidR="00BA5DAB" w:rsidRPr="007B3BD9">
        <w:rPr>
          <w:rFonts w:ascii="Times New Roman" w:hAnsi="Times New Roman" w:cs="Times New Roman"/>
          <w:sz w:val="24"/>
          <w:szCs w:val="24"/>
        </w:rPr>
        <w:t xml:space="preserve"> choix </w:t>
      </w:r>
      <w:r w:rsidR="001F660A" w:rsidRPr="007B3BD9">
        <w:rPr>
          <w:rFonts w:ascii="Times New Roman" w:hAnsi="Times New Roman" w:cs="Times New Roman"/>
          <w:sz w:val="24"/>
          <w:szCs w:val="24"/>
        </w:rPr>
        <w:t>des pesticides basés</w:t>
      </w:r>
      <w:r w:rsidR="00BA5DAB" w:rsidRPr="007B3BD9">
        <w:rPr>
          <w:rFonts w:ascii="Times New Roman" w:hAnsi="Times New Roman" w:cs="Times New Roman"/>
          <w:sz w:val="24"/>
          <w:szCs w:val="24"/>
        </w:rPr>
        <w:t xml:space="preserve"> sur la connaissance réelle des niveaux de risques, n’est toujours pas disponible. </w:t>
      </w:r>
      <w:r w:rsidR="00BF09AF" w:rsidRPr="007B3BD9">
        <w:rPr>
          <w:rFonts w:ascii="Times New Roman" w:hAnsi="Times New Roman" w:cs="Times New Roman"/>
          <w:sz w:val="24"/>
          <w:szCs w:val="24"/>
        </w:rPr>
        <w:t xml:space="preserve">C’est ce qui justifie la présente étude dont l’objectif est de quantifier les niveaux de risque de pollution environnementale en rapport avec les pratiques culturales paysannes. Cette étude est la suite logique d’une première étude publiée </w:t>
      </w:r>
      <w:r w:rsidR="009D5863" w:rsidRPr="007B3BD9">
        <w:rPr>
          <w:rFonts w:ascii="Times New Roman" w:hAnsi="Times New Roman" w:cs="Times New Roman"/>
          <w:sz w:val="24"/>
          <w:szCs w:val="24"/>
        </w:rPr>
        <w:t xml:space="preserve">par </w:t>
      </w:r>
      <w:r w:rsidR="00645F2B" w:rsidRPr="007B3BD9">
        <w:rPr>
          <w:rFonts w:ascii="Times New Roman" w:hAnsi="Times New Roman" w:cs="Times New Roman"/>
          <w:sz w:val="24"/>
          <w:szCs w:val="24"/>
        </w:rPr>
        <w:t xml:space="preserve">OUEDRAOGO </w:t>
      </w:r>
      <w:r w:rsidR="00BF09AF" w:rsidRPr="007B3BD9">
        <w:rPr>
          <w:rFonts w:ascii="Times New Roman" w:hAnsi="Times New Roman" w:cs="Times New Roman"/>
          <w:i/>
          <w:sz w:val="24"/>
          <w:szCs w:val="24"/>
        </w:rPr>
        <w:t>et al.</w:t>
      </w:r>
      <w:r w:rsidR="00BF09AF" w:rsidRPr="007B3BD9">
        <w:rPr>
          <w:rFonts w:ascii="Times New Roman" w:hAnsi="Times New Roman" w:cs="Times New Roman"/>
          <w:sz w:val="24"/>
          <w:szCs w:val="24"/>
        </w:rPr>
        <w:t xml:space="preserve">, </w:t>
      </w:r>
      <w:r w:rsidR="009D5863" w:rsidRPr="007B3BD9">
        <w:rPr>
          <w:rFonts w:ascii="Times New Roman" w:hAnsi="Times New Roman" w:cs="Times New Roman"/>
          <w:sz w:val="24"/>
          <w:szCs w:val="24"/>
        </w:rPr>
        <w:t xml:space="preserve">en 2019 </w:t>
      </w:r>
      <w:r w:rsidR="00BF09AF" w:rsidRPr="007B3BD9">
        <w:rPr>
          <w:rFonts w:ascii="Times New Roman" w:hAnsi="Times New Roman" w:cs="Times New Roman"/>
          <w:sz w:val="24"/>
          <w:szCs w:val="24"/>
        </w:rPr>
        <w:t xml:space="preserve">et consacrée à la caractérisation des pratiques paysannes. </w:t>
      </w:r>
      <w:r w:rsidR="00AA5462" w:rsidRPr="007B3BD9">
        <w:rPr>
          <w:rFonts w:ascii="Times New Roman" w:hAnsi="Times New Roman" w:cs="Times New Roman"/>
          <w:sz w:val="24"/>
          <w:szCs w:val="24"/>
        </w:rPr>
        <w:t>Ce</w:t>
      </w:r>
      <w:r w:rsidR="004C4CA0" w:rsidRPr="007B3BD9">
        <w:rPr>
          <w:rFonts w:ascii="Times New Roman" w:hAnsi="Times New Roman" w:cs="Times New Roman"/>
          <w:sz w:val="24"/>
          <w:szCs w:val="24"/>
        </w:rPr>
        <w:t>tte étude</w:t>
      </w:r>
      <w:r w:rsidR="00AA5462" w:rsidRPr="007B3BD9">
        <w:rPr>
          <w:rFonts w:ascii="Times New Roman" w:hAnsi="Times New Roman" w:cs="Times New Roman"/>
          <w:sz w:val="24"/>
          <w:szCs w:val="24"/>
        </w:rPr>
        <w:t xml:space="preserve"> permettra d</w:t>
      </w:r>
      <w:r w:rsidR="004C4CA0" w:rsidRPr="007B3BD9">
        <w:rPr>
          <w:rFonts w:ascii="Times New Roman" w:hAnsi="Times New Roman" w:cs="Times New Roman"/>
          <w:sz w:val="24"/>
          <w:szCs w:val="24"/>
        </w:rPr>
        <w:t xml:space="preserve">e disposer </w:t>
      </w:r>
      <w:r w:rsidR="009D5863" w:rsidRPr="007B3BD9">
        <w:rPr>
          <w:rFonts w:ascii="Times New Roman" w:hAnsi="Times New Roman" w:cs="Times New Roman"/>
          <w:sz w:val="24"/>
          <w:szCs w:val="24"/>
        </w:rPr>
        <w:t>d’</w:t>
      </w:r>
      <w:r w:rsidR="004C4CA0" w:rsidRPr="007B3BD9">
        <w:rPr>
          <w:rFonts w:ascii="Times New Roman" w:hAnsi="Times New Roman" w:cs="Times New Roman"/>
          <w:sz w:val="24"/>
          <w:szCs w:val="24"/>
        </w:rPr>
        <w:t>une base de décision</w:t>
      </w:r>
      <w:r w:rsidR="00AA5462" w:rsidRPr="007B3BD9">
        <w:rPr>
          <w:rFonts w:ascii="Times New Roman" w:hAnsi="Times New Roman" w:cs="Times New Roman"/>
          <w:sz w:val="24"/>
          <w:szCs w:val="24"/>
        </w:rPr>
        <w:t xml:space="preserve"> pour mieux </w:t>
      </w:r>
      <w:r w:rsidR="004C4CA0" w:rsidRPr="007B3BD9">
        <w:rPr>
          <w:rFonts w:ascii="Times New Roman" w:hAnsi="Times New Roman" w:cs="Times New Roman"/>
          <w:sz w:val="24"/>
          <w:szCs w:val="24"/>
        </w:rPr>
        <w:t>conseiller</w:t>
      </w:r>
      <w:r w:rsidR="00AA5462" w:rsidRPr="007B3BD9">
        <w:rPr>
          <w:rFonts w:ascii="Times New Roman" w:hAnsi="Times New Roman" w:cs="Times New Roman"/>
          <w:sz w:val="24"/>
          <w:szCs w:val="24"/>
        </w:rPr>
        <w:t xml:space="preserve"> les producteurs.</w:t>
      </w:r>
    </w:p>
    <w:p w14:paraId="4EA17600" w14:textId="77777777" w:rsidR="008B50A5" w:rsidRDefault="008B50A5" w:rsidP="00EB7D2E">
      <w:pPr>
        <w:spacing w:line="240" w:lineRule="auto"/>
        <w:rPr>
          <w:rFonts w:ascii="Times New Roman" w:hAnsi="Times New Roman" w:cs="Times New Roman"/>
          <w:b/>
          <w:sz w:val="24"/>
          <w:szCs w:val="24"/>
        </w:rPr>
      </w:pPr>
    </w:p>
    <w:p w14:paraId="56E774AB" w14:textId="3DC353A9" w:rsidR="000B2D26" w:rsidRPr="00C12DB0" w:rsidRDefault="000B2D26" w:rsidP="00C12DB0">
      <w:pPr>
        <w:pStyle w:val="Paragraphedeliste"/>
        <w:numPr>
          <w:ilvl w:val="0"/>
          <w:numId w:val="4"/>
        </w:numPr>
        <w:spacing w:after="120" w:line="240" w:lineRule="auto"/>
        <w:ind w:left="284" w:hanging="284"/>
        <w:contextualSpacing w:val="0"/>
        <w:rPr>
          <w:rFonts w:ascii="Times New Roman" w:hAnsi="Times New Roman" w:cs="Times New Roman"/>
          <w:b/>
          <w:sz w:val="28"/>
          <w:szCs w:val="28"/>
        </w:rPr>
      </w:pPr>
      <w:r w:rsidRPr="00C12DB0">
        <w:rPr>
          <w:rFonts w:ascii="Times New Roman" w:hAnsi="Times New Roman" w:cs="Times New Roman"/>
          <w:b/>
          <w:sz w:val="28"/>
          <w:szCs w:val="28"/>
        </w:rPr>
        <w:t>Méthodologie</w:t>
      </w:r>
    </w:p>
    <w:p w14:paraId="566C29C2" w14:textId="55C19593" w:rsidR="00C6472E" w:rsidRDefault="00EB7D2E" w:rsidP="00C12DB0">
      <w:pPr>
        <w:spacing w:after="120" w:line="240" w:lineRule="auto"/>
        <w:rPr>
          <w:rFonts w:ascii="Times New Roman" w:hAnsi="Times New Roman" w:cs="Times New Roman"/>
          <w:b/>
          <w:sz w:val="24"/>
          <w:szCs w:val="24"/>
        </w:rPr>
      </w:pPr>
      <w:r>
        <w:rPr>
          <w:rFonts w:ascii="Times New Roman" w:hAnsi="Times New Roman" w:cs="Times New Roman"/>
          <w:b/>
          <w:sz w:val="24"/>
          <w:szCs w:val="24"/>
        </w:rPr>
        <w:t>1</w:t>
      </w:r>
      <w:r w:rsidR="00FD41E5">
        <w:rPr>
          <w:rFonts w:ascii="Times New Roman" w:hAnsi="Times New Roman" w:cs="Times New Roman"/>
          <w:b/>
          <w:sz w:val="24"/>
          <w:szCs w:val="24"/>
        </w:rPr>
        <w:t xml:space="preserve">.1 </w:t>
      </w:r>
      <w:r w:rsidR="00C6472E">
        <w:rPr>
          <w:rFonts w:ascii="Times New Roman" w:hAnsi="Times New Roman" w:cs="Times New Roman"/>
          <w:b/>
          <w:sz w:val="24"/>
          <w:szCs w:val="24"/>
        </w:rPr>
        <w:t>Zone d’étude</w:t>
      </w:r>
    </w:p>
    <w:p w14:paraId="021B51ED" w14:textId="5958EA78" w:rsidR="00313DE9" w:rsidRPr="00080D13" w:rsidRDefault="00313DE9" w:rsidP="00CD5AEC">
      <w:pPr>
        <w:spacing w:after="120" w:line="240" w:lineRule="auto"/>
        <w:rPr>
          <w:szCs w:val="24"/>
        </w:rPr>
      </w:pPr>
      <w:r w:rsidRPr="00313DE9">
        <w:rPr>
          <w:rFonts w:ascii="Times New Roman" w:hAnsi="Times New Roman" w:cs="Times New Roman"/>
          <w:sz w:val="24"/>
          <w:szCs w:val="24"/>
        </w:rPr>
        <w:t xml:space="preserve">L’étude a été conduite dans les périmètres maraîchers de </w:t>
      </w:r>
      <w:proofErr w:type="spellStart"/>
      <w:r w:rsidRPr="00313DE9">
        <w:rPr>
          <w:rFonts w:ascii="Times New Roman" w:hAnsi="Times New Roman" w:cs="Times New Roman"/>
          <w:sz w:val="24"/>
          <w:szCs w:val="24"/>
        </w:rPr>
        <w:t>Dogona</w:t>
      </w:r>
      <w:proofErr w:type="spellEnd"/>
      <w:r w:rsidRPr="00313DE9">
        <w:rPr>
          <w:rFonts w:ascii="Times New Roman" w:hAnsi="Times New Roman" w:cs="Times New Roman"/>
          <w:sz w:val="24"/>
          <w:szCs w:val="24"/>
        </w:rPr>
        <w:t xml:space="preserve"> et de </w:t>
      </w:r>
      <w:proofErr w:type="spellStart"/>
      <w:r w:rsidRPr="00313DE9">
        <w:rPr>
          <w:rFonts w:ascii="Times New Roman" w:hAnsi="Times New Roman" w:cs="Times New Roman"/>
          <w:sz w:val="24"/>
          <w:szCs w:val="24"/>
        </w:rPr>
        <w:t>Sakaby</w:t>
      </w:r>
      <w:proofErr w:type="spellEnd"/>
      <w:r w:rsidR="00121148">
        <w:rPr>
          <w:rFonts w:ascii="Times New Roman" w:hAnsi="Times New Roman" w:cs="Times New Roman"/>
          <w:sz w:val="24"/>
          <w:szCs w:val="24"/>
        </w:rPr>
        <w:t xml:space="preserve"> (</w:t>
      </w:r>
      <w:r w:rsidR="00121148" w:rsidRPr="00313DE9">
        <w:rPr>
          <w:rFonts w:ascii="Times New Roman" w:hAnsi="Times New Roman" w:cs="Times New Roman"/>
          <w:sz w:val="24"/>
          <w:szCs w:val="24"/>
        </w:rPr>
        <w:t>situés</w:t>
      </w:r>
      <w:r w:rsidRPr="00313DE9">
        <w:rPr>
          <w:rFonts w:ascii="Times New Roman" w:hAnsi="Times New Roman" w:cs="Times New Roman"/>
          <w:sz w:val="24"/>
          <w:szCs w:val="24"/>
        </w:rPr>
        <w:t xml:space="preserve"> au Nord-Est de la ville de Bobo-Dioulasso</w:t>
      </w:r>
      <w:r w:rsidR="008B50A5">
        <w:rPr>
          <w:rFonts w:ascii="Times New Roman" w:hAnsi="Times New Roman" w:cs="Times New Roman"/>
          <w:sz w:val="24"/>
          <w:szCs w:val="24"/>
        </w:rPr>
        <w:t xml:space="preserve"> (</w:t>
      </w:r>
      <w:r w:rsidRPr="00313DE9">
        <w:rPr>
          <w:rFonts w:ascii="Times New Roman" w:hAnsi="Times New Roman" w:cs="Times New Roman"/>
          <w:sz w:val="24"/>
          <w:szCs w:val="24"/>
        </w:rPr>
        <w:t>latitude Nord 11°12’6’’ et longitude Ouest 4°27’25’’</w:t>
      </w:r>
      <w:r w:rsidR="002C03F9">
        <w:rPr>
          <w:rFonts w:ascii="Times New Roman" w:hAnsi="Times New Roman" w:cs="Times New Roman"/>
          <w:sz w:val="24"/>
          <w:szCs w:val="24"/>
        </w:rPr>
        <w:t>)</w:t>
      </w:r>
      <w:r w:rsidR="008B50A5">
        <w:rPr>
          <w:rFonts w:ascii="Times New Roman" w:hAnsi="Times New Roman" w:cs="Times New Roman"/>
          <w:sz w:val="24"/>
          <w:szCs w:val="24"/>
        </w:rPr>
        <w:t xml:space="preserve"> au Burkina Faso</w:t>
      </w:r>
      <w:r w:rsidRPr="00313DE9">
        <w:rPr>
          <w:rFonts w:ascii="Times New Roman" w:hAnsi="Times New Roman" w:cs="Times New Roman"/>
          <w:sz w:val="24"/>
          <w:szCs w:val="24"/>
        </w:rPr>
        <w:t xml:space="preserve"> (</w:t>
      </w:r>
      <w:r w:rsidR="00D632F8">
        <w:rPr>
          <w:rFonts w:ascii="Times New Roman" w:hAnsi="Times New Roman" w:cs="Times New Roman"/>
          <w:sz w:val="24"/>
          <w:szCs w:val="24"/>
        </w:rPr>
        <w:t>Figure</w:t>
      </w:r>
      <w:r w:rsidRPr="00313DE9">
        <w:rPr>
          <w:rFonts w:ascii="Times New Roman" w:hAnsi="Times New Roman" w:cs="Times New Roman"/>
          <w:sz w:val="24"/>
          <w:szCs w:val="24"/>
        </w:rPr>
        <w:t xml:space="preserve"> 1</w:t>
      </w:r>
      <w:r w:rsidRPr="001D7056">
        <w:rPr>
          <w:rFonts w:ascii="Times New Roman" w:hAnsi="Times New Roman" w:cs="Times New Roman"/>
          <w:sz w:val="24"/>
          <w:szCs w:val="24"/>
        </w:rPr>
        <w:t>).</w:t>
      </w:r>
      <w:r w:rsidR="00121148" w:rsidRPr="001D7056">
        <w:rPr>
          <w:rFonts w:ascii="Times New Roman" w:hAnsi="Times New Roman" w:cs="Times New Roman"/>
          <w:sz w:val="24"/>
          <w:szCs w:val="24"/>
        </w:rPr>
        <w:t xml:space="preserve"> Les deux sites étant contigus, ils ont donc été considéré</w:t>
      </w:r>
      <w:r w:rsidR="00031AD5" w:rsidRPr="001D7056">
        <w:rPr>
          <w:rFonts w:ascii="Times New Roman" w:hAnsi="Times New Roman" w:cs="Times New Roman"/>
          <w:sz w:val="24"/>
          <w:szCs w:val="24"/>
        </w:rPr>
        <w:t>s</w:t>
      </w:r>
      <w:r w:rsidR="00121148" w:rsidRPr="001D7056">
        <w:rPr>
          <w:rFonts w:ascii="Times New Roman" w:hAnsi="Times New Roman" w:cs="Times New Roman"/>
          <w:sz w:val="24"/>
          <w:szCs w:val="24"/>
        </w:rPr>
        <w:t xml:space="preserve"> comme un seul site dans notre étude.</w:t>
      </w:r>
      <w:r w:rsidRPr="00313DE9">
        <w:rPr>
          <w:rFonts w:ascii="Times New Roman" w:hAnsi="Times New Roman" w:cs="Times New Roman"/>
          <w:sz w:val="24"/>
          <w:szCs w:val="24"/>
        </w:rPr>
        <w:t xml:space="preserve"> </w:t>
      </w:r>
      <w:r w:rsidR="00B80004">
        <w:rPr>
          <w:rFonts w:ascii="Times New Roman" w:hAnsi="Times New Roman" w:cs="Times New Roman"/>
          <w:sz w:val="24"/>
          <w:szCs w:val="24"/>
        </w:rPr>
        <w:t xml:space="preserve">De par </w:t>
      </w:r>
      <w:r w:rsidR="001D7056">
        <w:rPr>
          <w:rFonts w:ascii="Times New Roman" w:hAnsi="Times New Roman" w:cs="Times New Roman"/>
          <w:sz w:val="24"/>
          <w:szCs w:val="24"/>
        </w:rPr>
        <w:t xml:space="preserve">sa </w:t>
      </w:r>
      <w:r w:rsidR="00B80004">
        <w:rPr>
          <w:rFonts w:ascii="Times New Roman" w:hAnsi="Times New Roman" w:cs="Times New Roman"/>
          <w:sz w:val="24"/>
          <w:szCs w:val="24"/>
        </w:rPr>
        <w:t>position, Bobo-D</w:t>
      </w:r>
      <w:r w:rsidR="00B80004" w:rsidRPr="00313DE9">
        <w:rPr>
          <w:rFonts w:ascii="Times New Roman" w:hAnsi="Times New Roman" w:cs="Times New Roman"/>
          <w:sz w:val="24"/>
          <w:szCs w:val="24"/>
        </w:rPr>
        <w:t xml:space="preserve">ioulasso </w:t>
      </w:r>
      <w:r w:rsidR="002C03F9">
        <w:rPr>
          <w:rFonts w:ascii="Times New Roman" w:hAnsi="Times New Roman" w:cs="Times New Roman"/>
          <w:sz w:val="24"/>
          <w:szCs w:val="24"/>
        </w:rPr>
        <w:t>hérite d’</w:t>
      </w:r>
      <w:r w:rsidR="00815A40">
        <w:rPr>
          <w:rFonts w:ascii="Times New Roman" w:hAnsi="Times New Roman" w:cs="Times New Roman"/>
          <w:sz w:val="24"/>
          <w:szCs w:val="24"/>
        </w:rPr>
        <w:t>un climat de type sud soudanien</w:t>
      </w:r>
      <w:r w:rsidR="00B80004" w:rsidRPr="00313DE9">
        <w:rPr>
          <w:rFonts w:ascii="Times New Roman" w:hAnsi="Times New Roman" w:cs="Times New Roman"/>
          <w:sz w:val="24"/>
          <w:szCs w:val="24"/>
        </w:rPr>
        <w:t xml:space="preserve"> </w:t>
      </w:r>
      <w:r w:rsidR="002C03F9">
        <w:rPr>
          <w:rFonts w:ascii="Times New Roman" w:hAnsi="Times New Roman" w:cs="Times New Roman"/>
          <w:sz w:val="24"/>
          <w:szCs w:val="24"/>
        </w:rPr>
        <w:t>avec des précipitations annuelles</w:t>
      </w:r>
      <w:r w:rsidR="00B80004" w:rsidRPr="00313DE9">
        <w:rPr>
          <w:rFonts w:ascii="Times New Roman" w:hAnsi="Times New Roman" w:cs="Times New Roman"/>
          <w:sz w:val="24"/>
          <w:szCs w:val="24"/>
        </w:rPr>
        <w:t xml:space="preserve"> moyenne </w:t>
      </w:r>
      <w:r w:rsidR="00B80004">
        <w:rPr>
          <w:rFonts w:ascii="Times New Roman" w:hAnsi="Times New Roman" w:cs="Times New Roman"/>
          <w:sz w:val="24"/>
          <w:szCs w:val="24"/>
        </w:rPr>
        <w:t xml:space="preserve">comprises </w:t>
      </w:r>
      <w:r w:rsidR="00B80004" w:rsidRPr="00313DE9">
        <w:rPr>
          <w:rFonts w:ascii="Times New Roman" w:hAnsi="Times New Roman" w:cs="Times New Roman"/>
          <w:sz w:val="24"/>
          <w:szCs w:val="24"/>
        </w:rPr>
        <w:t xml:space="preserve">entre 1100 et 1200 mm </w:t>
      </w:r>
      <w:r w:rsidR="00B80004">
        <w:rPr>
          <w:rFonts w:ascii="Times New Roman" w:hAnsi="Times New Roman" w:cs="Times New Roman"/>
          <w:sz w:val="24"/>
          <w:szCs w:val="24"/>
        </w:rPr>
        <w:t xml:space="preserve">et </w:t>
      </w:r>
      <w:r w:rsidR="00B80004" w:rsidRPr="00313DE9">
        <w:rPr>
          <w:rFonts w:ascii="Times New Roman" w:hAnsi="Times New Roman" w:cs="Times New Roman"/>
          <w:sz w:val="24"/>
          <w:szCs w:val="24"/>
        </w:rPr>
        <w:t>réparties sur 5 à 6 mois (mai à octobre)</w:t>
      </w:r>
      <w:r w:rsidR="00B80004">
        <w:rPr>
          <w:rFonts w:ascii="Times New Roman" w:hAnsi="Times New Roman" w:cs="Times New Roman"/>
          <w:sz w:val="24"/>
          <w:szCs w:val="24"/>
        </w:rPr>
        <w:t xml:space="preserve">. La </w:t>
      </w:r>
      <w:r w:rsidR="00B80004" w:rsidRPr="00313DE9">
        <w:rPr>
          <w:rFonts w:ascii="Times New Roman" w:hAnsi="Times New Roman" w:cs="Times New Roman"/>
          <w:sz w:val="24"/>
          <w:szCs w:val="24"/>
        </w:rPr>
        <w:t>saison sèche, sur 5 à 6 mois (novembre-avril)</w:t>
      </w:r>
      <w:r w:rsidR="00D17628">
        <w:rPr>
          <w:rFonts w:ascii="Times New Roman" w:hAnsi="Times New Roman" w:cs="Times New Roman"/>
          <w:sz w:val="24"/>
          <w:szCs w:val="24"/>
        </w:rPr>
        <w:t xml:space="preserve"> est la principale période de production maraichère. Cette production est favorisée par les </w:t>
      </w:r>
      <w:r w:rsidR="00D17628">
        <w:rPr>
          <w:rFonts w:ascii="Times New Roman" w:hAnsi="Times New Roman" w:cs="Times New Roman"/>
          <w:sz w:val="24"/>
          <w:szCs w:val="24"/>
        </w:rPr>
        <w:lastRenderedPageBreak/>
        <w:t xml:space="preserve">températures relativement froides sur la période d’octobre à février (25 à 29 °C), les mois de mars et </w:t>
      </w:r>
      <w:r w:rsidR="00773036">
        <w:rPr>
          <w:rFonts w:ascii="Times New Roman" w:hAnsi="Times New Roman" w:cs="Times New Roman"/>
          <w:sz w:val="24"/>
          <w:szCs w:val="24"/>
        </w:rPr>
        <w:t xml:space="preserve">avril étant plus chauds (37 °C). </w:t>
      </w:r>
      <w:r w:rsidR="00D17628">
        <w:rPr>
          <w:rFonts w:ascii="Times New Roman" w:hAnsi="Times New Roman" w:cs="Times New Roman"/>
          <w:sz w:val="24"/>
          <w:szCs w:val="24"/>
        </w:rPr>
        <w:t>De par sa population, Bobo-Dioulasso est</w:t>
      </w:r>
      <w:r w:rsidR="008B50A5">
        <w:rPr>
          <w:rFonts w:ascii="Times New Roman" w:hAnsi="Times New Roman" w:cs="Times New Roman"/>
          <w:sz w:val="24"/>
          <w:szCs w:val="24"/>
        </w:rPr>
        <w:t xml:space="preserve"> le deuxième plus grand p</w:t>
      </w:r>
      <w:r w:rsidR="00D17628">
        <w:rPr>
          <w:rFonts w:ascii="Times New Roman" w:hAnsi="Times New Roman" w:cs="Times New Roman"/>
          <w:sz w:val="24"/>
          <w:szCs w:val="24"/>
        </w:rPr>
        <w:t>ôle urbain du pays et donc un marché de consommation des produits maraichers</w:t>
      </w:r>
      <w:r w:rsidR="002C03F9">
        <w:rPr>
          <w:rFonts w:ascii="Times New Roman" w:hAnsi="Times New Roman" w:cs="Times New Roman"/>
          <w:sz w:val="24"/>
          <w:szCs w:val="24"/>
        </w:rPr>
        <w:t>.</w:t>
      </w:r>
    </w:p>
    <w:p w14:paraId="5B72BCA2" w14:textId="77777777" w:rsidR="00685F73" w:rsidRDefault="00685F73" w:rsidP="00685F73">
      <w:pPr>
        <w:spacing w:line="240" w:lineRule="auto"/>
        <w:jc w:val="center"/>
      </w:pPr>
      <w:r w:rsidRPr="00426C42">
        <w:rPr>
          <w:i/>
          <w:noProof/>
          <w:szCs w:val="24"/>
          <w:lang w:eastAsia="fr-FR"/>
        </w:rPr>
        <w:drawing>
          <wp:inline distT="0" distB="0" distL="0" distR="0" wp14:anchorId="1AF798FE" wp14:editId="27B4F682">
            <wp:extent cx="5184476" cy="3407410"/>
            <wp:effectExtent l="0" t="0" r="0"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90081" cy="3411094"/>
                    </a:xfrm>
                    <a:prstGeom prst="rect">
                      <a:avLst/>
                    </a:prstGeom>
                    <a:noFill/>
                    <a:ln>
                      <a:noFill/>
                    </a:ln>
                  </pic:spPr>
                </pic:pic>
              </a:graphicData>
            </a:graphic>
          </wp:inline>
        </w:drawing>
      </w:r>
    </w:p>
    <w:p w14:paraId="5BBB6DF7" w14:textId="2EE2E4E6" w:rsidR="00685F73" w:rsidRDefault="00685F73" w:rsidP="00685F73">
      <w:pPr>
        <w:spacing w:line="240" w:lineRule="auto"/>
        <w:ind w:left="567"/>
        <w:rPr>
          <w:rFonts w:ascii="Times New Roman" w:hAnsi="Times New Roman" w:cs="Times New Roman"/>
          <w:sz w:val="20"/>
          <w:szCs w:val="20"/>
        </w:rPr>
      </w:pPr>
      <w:r w:rsidRPr="00685F73">
        <w:rPr>
          <w:rFonts w:ascii="Times New Roman" w:hAnsi="Times New Roman" w:cs="Times New Roman"/>
          <w:b/>
          <w:sz w:val="20"/>
          <w:szCs w:val="20"/>
        </w:rPr>
        <w:t>Figure 1</w:t>
      </w:r>
      <w:r w:rsidRPr="00685F73">
        <w:rPr>
          <w:rFonts w:ascii="Times New Roman" w:hAnsi="Times New Roman" w:cs="Times New Roman"/>
          <w:sz w:val="20"/>
          <w:szCs w:val="20"/>
        </w:rPr>
        <w:t> : Localisation du site d’étude</w:t>
      </w:r>
    </w:p>
    <w:p w14:paraId="51741090" w14:textId="238A4037" w:rsidR="00685F73" w:rsidRDefault="00685F73" w:rsidP="00685F73">
      <w:pPr>
        <w:spacing w:line="240" w:lineRule="auto"/>
        <w:ind w:left="567"/>
        <w:rPr>
          <w:rFonts w:ascii="Times New Roman" w:hAnsi="Times New Roman" w:cs="Times New Roman"/>
          <w:sz w:val="20"/>
          <w:szCs w:val="20"/>
        </w:rPr>
      </w:pPr>
    </w:p>
    <w:p w14:paraId="09CE4B29" w14:textId="2F7011EC" w:rsidR="00685F73" w:rsidRDefault="00685F73" w:rsidP="00685F73">
      <w:pPr>
        <w:spacing w:line="240" w:lineRule="auto"/>
        <w:ind w:left="567"/>
        <w:rPr>
          <w:rFonts w:ascii="Times New Roman" w:hAnsi="Times New Roman" w:cs="Times New Roman"/>
          <w:sz w:val="20"/>
          <w:szCs w:val="20"/>
        </w:rPr>
      </w:pPr>
    </w:p>
    <w:p w14:paraId="0873B4D1" w14:textId="4B3053C5" w:rsidR="00012A4A" w:rsidRPr="00012A4A" w:rsidRDefault="00EB7D2E" w:rsidP="00685F73">
      <w:pPr>
        <w:spacing w:line="240" w:lineRule="auto"/>
        <w:rPr>
          <w:rFonts w:ascii="Times New Roman" w:hAnsi="Times New Roman" w:cs="Times New Roman"/>
          <w:b/>
          <w:sz w:val="24"/>
          <w:szCs w:val="24"/>
        </w:rPr>
      </w:pPr>
      <w:r>
        <w:rPr>
          <w:rFonts w:ascii="Times New Roman" w:hAnsi="Times New Roman" w:cs="Times New Roman"/>
          <w:b/>
          <w:sz w:val="24"/>
          <w:szCs w:val="24"/>
        </w:rPr>
        <w:t>1</w:t>
      </w:r>
      <w:r w:rsidR="00FD41E5">
        <w:rPr>
          <w:rFonts w:ascii="Times New Roman" w:hAnsi="Times New Roman" w:cs="Times New Roman"/>
          <w:b/>
          <w:sz w:val="24"/>
          <w:szCs w:val="24"/>
        </w:rPr>
        <w:t>.</w:t>
      </w:r>
      <w:r w:rsidR="00DB30B4">
        <w:rPr>
          <w:rFonts w:ascii="Times New Roman" w:hAnsi="Times New Roman" w:cs="Times New Roman"/>
          <w:b/>
          <w:sz w:val="24"/>
          <w:szCs w:val="24"/>
        </w:rPr>
        <w:t>2</w:t>
      </w:r>
      <w:r w:rsidR="00FD41E5">
        <w:rPr>
          <w:rFonts w:ascii="Times New Roman" w:hAnsi="Times New Roman" w:cs="Times New Roman"/>
          <w:b/>
          <w:sz w:val="24"/>
          <w:szCs w:val="24"/>
        </w:rPr>
        <w:t xml:space="preserve"> </w:t>
      </w:r>
      <w:r w:rsidR="003C424C">
        <w:rPr>
          <w:rFonts w:ascii="Times New Roman" w:hAnsi="Times New Roman" w:cs="Times New Roman"/>
          <w:b/>
          <w:sz w:val="24"/>
          <w:szCs w:val="24"/>
        </w:rPr>
        <w:t>Collecte des données</w:t>
      </w:r>
    </w:p>
    <w:p w14:paraId="01A5E3CD" w14:textId="6FB195C6" w:rsidR="000748FE" w:rsidRPr="007B3BD9" w:rsidRDefault="000D5F93" w:rsidP="00CD5AEC">
      <w:pPr>
        <w:spacing w:after="120" w:line="240" w:lineRule="auto"/>
        <w:rPr>
          <w:rFonts w:ascii="Times New Roman" w:hAnsi="Times New Roman" w:cs="Times New Roman"/>
          <w:sz w:val="24"/>
          <w:szCs w:val="24"/>
        </w:rPr>
      </w:pPr>
      <w:r w:rsidRPr="007B3BD9">
        <w:rPr>
          <w:rFonts w:ascii="Times New Roman" w:hAnsi="Times New Roman" w:cs="Times New Roman"/>
          <w:sz w:val="24"/>
          <w:szCs w:val="24"/>
        </w:rPr>
        <w:t>Trente</w:t>
      </w:r>
      <w:r w:rsidR="000748FE" w:rsidRPr="007B3BD9">
        <w:rPr>
          <w:rFonts w:ascii="Times New Roman" w:hAnsi="Times New Roman" w:cs="Times New Roman"/>
          <w:sz w:val="24"/>
          <w:szCs w:val="24"/>
        </w:rPr>
        <w:t xml:space="preserve"> </w:t>
      </w:r>
      <w:r w:rsidR="00031AD5">
        <w:rPr>
          <w:rFonts w:ascii="Times New Roman" w:hAnsi="Times New Roman" w:cs="Times New Roman"/>
          <w:sz w:val="24"/>
          <w:szCs w:val="24"/>
        </w:rPr>
        <w:t>(</w:t>
      </w:r>
      <w:r w:rsidR="000748FE" w:rsidRPr="007B3BD9">
        <w:rPr>
          <w:rFonts w:ascii="Times New Roman" w:hAnsi="Times New Roman" w:cs="Times New Roman"/>
          <w:sz w:val="24"/>
          <w:szCs w:val="24"/>
        </w:rPr>
        <w:t>30</w:t>
      </w:r>
      <w:r w:rsidR="00031AD5">
        <w:rPr>
          <w:rFonts w:ascii="Times New Roman" w:hAnsi="Times New Roman" w:cs="Times New Roman"/>
          <w:sz w:val="24"/>
          <w:szCs w:val="24"/>
        </w:rPr>
        <w:t>)</w:t>
      </w:r>
      <w:r w:rsidR="000748FE" w:rsidRPr="007B3BD9">
        <w:rPr>
          <w:rFonts w:ascii="Times New Roman" w:hAnsi="Times New Roman" w:cs="Times New Roman"/>
          <w:sz w:val="24"/>
          <w:szCs w:val="24"/>
        </w:rPr>
        <w:t xml:space="preserve"> exploitations ont été choisie</w:t>
      </w:r>
      <w:r w:rsidR="00F44D7D" w:rsidRPr="007B3BD9">
        <w:rPr>
          <w:rFonts w:ascii="Times New Roman" w:hAnsi="Times New Roman" w:cs="Times New Roman"/>
          <w:sz w:val="24"/>
          <w:szCs w:val="24"/>
        </w:rPr>
        <w:t xml:space="preserve">s par </w:t>
      </w:r>
      <w:r w:rsidR="000748FE" w:rsidRPr="007B3BD9">
        <w:rPr>
          <w:rFonts w:ascii="Times New Roman" w:hAnsi="Times New Roman" w:cs="Times New Roman"/>
          <w:sz w:val="24"/>
          <w:szCs w:val="24"/>
        </w:rPr>
        <w:t xml:space="preserve">un </w:t>
      </w:r>
      <w:r w:rsidR="003C424C" w:rsidRPr="007B3BD9">
        <w:rPr>
          <w:rFonts w:ascii="Times New Roman" w:hAnsi="Times New Roman" w:cs="Times New Roman"/>
          <w:sz w:val="24"/>
          <w:szCs w:val="24"/>
        </w:rPr>
        <w:t>échantillonnage</w:t>
      </w:r>
      <w:r w:rsidR="000748FE" w:rsidRPr="007B3BD9">
        <w:rPr>
          <w:rFonts w:ascii="Times New Roman" w:hAnsi="Times New Roman" w:cs="Times New Roman"/>
          <w:sz w:val="24"/>
          <w:szCs w:val="24"/>
        </w:rPr>
        <w:t xml:space="preserve"> systématique </w:t>
      </w:r>
      <w:r w:rsidR="00F44D7D" w:rsidRPr="007B3BD9">
        <w:rPr>
          <w:rFonts w:ascii="Times New Roman" w:hAnsi="Times New Roman" w:cs="Times New Roman"/>
          <w:sz w:val="24"/>
          <w:szCs w:val="24"/>
        </w:rPr>
        <w:t xml:space="preserve">à la suite d’un </w:t>
      </w:r>
      <w:r w:rsidR="000748FE" w:rsidRPr="007B3BD9">
        <w:rPr>
          <w:rFonts w:ascii="Times New Roman" w:hAnsi="Times New Roman" w:cs="Times New Roman"/>
          <w:sz w:val="24"/>
          <w:szCs w:val="24"/>
        </w:rPr>
        <w:t xml:space="preserve">quadrillage </w:t>
      </w:r>
      <w:r w:rsidR="00F44D7D" w:rsidRPr="007B3BD9">
        <w:rPr>
          <w:rFonts w:ascii="Times New Roman" w:hAnsi="Times New Roman" w:cs="Times New Roman"/>
          <w:sz w:val="24"/>
          <w:szCs w:val="24"/>
        </w:rPr>
        <w:t xml:space="preserve">du périmètre maraicher </w:t>
      </w:r>
      <w:r w:rsidR="00824A6F" w:rsidRPr="007B3BD9">
        <w:rPr>
          <w:rFonts w:ascii="Times New Roman" w:hAnsi="Times New Roman" w:cs="Times New Roman"/>
          <w:sz w:val="24"/>
          <w:szCs w:val="24"/>
        </w:rPr>
        <w:t>à l’aide du logiciel QGIS</w:t>
      </w:r>
      <w:r w:rsidR="000748FE" w:rsidRPr="007B3BD9">
        <w:rPr>
          <w:rFonts w:ascii="Times New Roman" w:hAnsi="Times New Roman" w:cs="Times New Roman"/>
          <w:sz w:val="24"/>
          <w:szCs w:val="24"/>
        </w:rPr>
        <w:t>. La taille des mailles a été définie de sorte à avoir 30 intersection</w:t>
      </w:r>
      <w:r w:rsidR="00CE5294" w:rsidRPr="007B3BD9">
        <w:rPr>
          <w:rFonts w:ascii="Times New Roman" w:hAnsi="Times New Roman" w:cs="Times New Roman"/>
          <w:sz w:val="24"/>
          <w:szCs w:val="24"/>
        </w:rPr>
        <w:t>s</w:t>
      </w:r>
      <w:r w:rsidR="000748FE" w:rsidRPr="007B3BD9">
        <w:rPr>
          <w:rFonts w:ascii="Times New Roman" w:hAnsi="Times New Roman" w:cs="Times New Roman"/>
          <w:sz w:val="24"/>
          <w:szCs w:val="24"/>
        </w:rPr>
        <w:t xml:space="preserve"> au sein du périmètre (</w:t>
      </w:r>
      <w:r w:rsidR="00645F2B" w:rsidRPr="007B3BD9">
        <w:rPr>
          <w:rFonts w:ascii="Times New Roman" w:hAnsi="Times New Roman" w:cs="Times New Roman"/>
          <w:sz w:val="24"/>
          <w:szCs w:val="24"/>
        </w:rPr>
        <w:t xml:space="preserve">OUEDRAOGO </w:t>
      </w:r>
      <w:r w:rsidR="00FA4B5A" w:rsidRPr="007B3BD9">
        <w:rPr>
          <w:rFonts w:ascii="Times New Roman" w:hAnsi="Times New Roman" w:cs="Times New Roman"/>
          <w:i/>
          <w:sz w:val="24"/>
          <w:szCs w:val="24"/>
        </w:rPr>
        <w:t>et.</w:t>
      </w:r>
      <w:r w:rsidR="004928BF" w:rsidRPr="007B3BD9">
        <w:rPr>
          <w:rFonts w:ascii="Times New Roman" w:hAnsi="Times New Roman" w:cs="Times New Roman"/>
          <w:i/>
          <w:sz w:val="24"/>
          <w:szCs w:val="24"/>
        </w:rPr>
        <w:t>a</w:t>
      </w:r>
      <w:r w:rsidR="000748FE" w:rsidRPr="007B3BD9">
        <w:rPr>
          <w:rFonts w:ascii="Times New Roman" w:hAnsi="Times New Roman" w:cs="Times New Roman"/>
          <w:i/>
          <w:sz w:val="24"/>
          <w:szCs w:val="24"/>
        </w:rPr>
        <w:t>l.</w:t>
      </w:r>
      <w:r w:rsidR="000748FE" w:rsidRPr="007B3BD9">
        <w:rPr>
          <w:rFonts w:ascii="Times New Roman" w:hAnsi="Times New Roman" w:cs="Times New Roman"/>
          <w:sz w:val="24"/>
          <w:szCs w:val="24"/>
        </w:rPr>
        <w:t>, 2019)</w:t>
      </w:r>
    </w:p>
    <w:p w14:paraId="59EC7098" w14:textId="4FF81FE9" w:rsidR="000C424E" w:rsidRPr="007B3BD9" w:rsidRDefault="00B43FCD" w:rsidP="00CD5AEC">
      <w:pPr>
        <w:spacing w:after="120" w:line="240" w:lineRule="auto"/>
        <w:rPr>
          <w:rFonts w:ascii="Times New Roman" w:hAnsi="Times New Roman" w:cs="Times New Roman"/>
          <w:sz w:val="24"/>
          <w:szCs w:val="24"/>
        </w:rPr>
      </w:pPr>
      <w:r w:rsidRPr="007B3BD9">
        <w:rPr>
          <w:rFonts w:ascii="Times New Roman" w:hAnsi="Times New Roman" w:cs="Times New Roman"/>
          <w:bCs/>
          <w:sz w:val="24"/>
          <w:szCs w:val="24"/>
        </w:rPr>
        <w:t>Un entretien</w:t>
      </w:r>
      <w:r w:rsidR="004928BF" w:rsidRPr="007B3BD9">
        <w:rPr>
          <w:rFonts w:ascii="Times New Roman" w:hAnsi="Times New Roman" w:cs="Times New Roman"/>
          <w:bCs/>
          <w:sz w:val="24"/>
          <w:szCs w:val="24"/>
        </w:rPr>
        <w:t xml:space="preserve"> </w:t>
      </w:r>
      <w:r w:rsidR="00F44D7D" w:rsidRPr="007B3BD9">
        <w:rPr>
          <w:rFonts w:ascii="Times New Roman" w:hAnsi="Times New Roman" w:cs="Times New Roman"/>
          <w:bCs/>
          <w:sz w:val="24"/>
          <w:szCs w:val="24"/>
        </w:rPr>
        <w:t xml:space="preserve">individuel </w:t>
      </w:r>
      <w:r w:rsidR="004928BF" w:rsidRPr="007B3BD9">
        <w:rPr>
          <w:rFonts w:ascii="Times New Roman" w:hAnsi="Times New Roman" w:cs="Times New Roman"/>
          <w:bCs/>
          <w:sz w:val="24"/>
          <w:szCs w:val="24"/>
        </w:rPr>
        <w:t>par questionnaire</w:t>
      </w:r>
      <w:r w:rsidRPr="007B3BD9">
        <w:rPr>
          <w:rFonts w:ascii="Times New Roman" w:hAnsi="Times New Roman" w:cs="Times New Roman"/>
          <w:bCs/>
          <w:sz w:val="24"/>
          <w:szCs w:val="24"/>
        </w:rPr>
        <w:t xml:space="preserve"> a été réalisé </w:t>
      </w:r>
      <w:r w:rsidR="00FA4B5A" w:rsidRPr="007B3BD9">
        <w:rPr>
          <w:rFonts w:ascii="Times New Roman" w:hAnsi="Times New Roman" w:cs="Times New Roman"/>
          <w:bCs/>
          <w:sz w:val="24"/>
          <w:szCs w:val="24"/>
        </w:rPr>
        <w:t>avec les exploitants</w:t>
      </w:r>
      <w:r w:rsidRPr="007B3BD9">
        <w:rPr>
          <w:rFonts w:ascii="Times New Roman" w:hAnsi="Times New Roman" w:cs="Times New Roman"/>
          <w:bCs/>
          <w:sz w:val="24"/>
          <w:szCs w:val="24"/>
        </w:rPr>
        <w:t xml:space="preserve"> sur les pratiques </w:t>
      </w:r>
      <w:r w:rsidR="00AE56FC" w:rsidRPr="007B3BD9">
        <w:rPr>
          <w:rFonts w:ascii="Times New Roman" w:hAnsi="Times New Roman" w:cs="Times New Roman"/>
          <w:bCs/>
          <w:sz w:val="24"/>
          <w:szCs w:val="24"/>
        </w:rPr>
        <w:t xml:space="preserve">suivantes : </w:t>
      </w:r>
      <w:r w:rsidR="00F44D7D" w:rsidRPr="007B3BD9">
        <w:rPr>
          <w:rFonts w:ascii="Times New Roman" w:hAnsi="Times New Roman" w:cs="Times New Roman"/>
          <w:bCs/>
          <w:sz w:val="24"/>
          <w:szCs w:val="24"/>
        </w:rPr>
        <w:t>s</w:t>
      </w:r>
      <w:r w:rsidR="00957160" w:rsidRPr="007B3BD9">
        <w:rPr>
          <w:rFonts w:ascii="Times New Roman" w:hAnsi="Times New Roman" w:cs="Times New Roman"/>
          <w:bCs/>
          <w:sz w:val="24"/>
          <w:szCs w:val="24"/>
        </w:rPr>
        <w:t xml:space="preserve">péculations produites, </w:t>
      </w:r>
      <w:r w:rsidRPr="007B3BD9">
        <w:rPr>
          <w:rFonts w:ascii="Times New Roman" w:hAnsi="Times New Roman" w:cs="Times New Roman"/>
          <w:bCs/>
          <w:sz w:val="24"/>
          <w:szCs w:val="24"/>
        </w:rPr>
        <w:t>type de pesticide</w:t>
      </w:r>
      <w:r w:rsidR="00015242" w:rsidRPr="007B3BD9">
        <w:rPr>
          <w:rFonts w:ascii="Times New Roman" w:hAnsi="Times New Roman" w:cs="Times New Roman"/>
          <w:bCs/>
          <w:sz w:val="24"/>
          <w:szCs w:val="24"/>
        </w:rPr>
        <w:t>s</w:t>
      </w:r>
      <w:r w:rsidRPr="007B3BD9">
        <w:rPr>
          <w:rFonts w:ascii="Times New Roman" w:hAnsi="Times New Roman" w:cs="Times New Roman"/>
          <w:bCs/>
          <w:sz w:val="24"/>
          <w:szCs w:val="24"/>
        </w:rPr>
        <w:t xml:space="preserve"> chimiques, dose,</w:t>
      </w:r>
      <w:r w:rsidR="00957160" w:rsidRPr="007B3BD9">
        <w:rPr>
          <w:rFonts w:ascii="Times New Roman" w:hAnsi="Times New Roman" w:cs="Times New Roman"/>
          <w:bCs/>
          <w:sz w:val="24"/>
          <w:szCs w:val="24"/>
        </w:rPr>
        <w:t xml:space="preserve"> fréquence,</w:t>
      </w:r>
      <w:r w:rsidR="00AE56FC" w:rsidRPr="007B3BD9">
        <w:rPr>
          <w:rFonts w:ascii="Times New Roman" w:hAnsi="Times New Roman" w:cs="Times New Roman"/>
          <w:bCs/>
          <w:sz w:val="24"/>
          <w:szCs w:val="24"/>
        </w:rPr>
        <w:t xml:space="preserve"> mode d’apport</w:t>
      </w:r>
      <w:r w:rsidRPr="007B3BD9">
        <w:rPr>
          <w:rFonts w:ascii="Times New Roman" w:hAnsi="Times New Roman" w:cs="Times New Roman"/>
          <w:bCs/>
          <w:sz w:val="24"/>
          <w:szCs w:val="24"/>
        </w:rPr>
        <w:t>. Afin d’estimer les doses de pesticides</w:t>
      </w:r>
      <w:r w:rsidR="004928BF" w:rsidRPr="007B3BD9">
        <w:rPr>
          <w:rFonts w:ascii="Times New Roman" w:hAnsi="Times New Roman" w:cs="Times New Roman"/>
          <w:bCs/>
          <w:sz w:val="24"/>
          <w:szCs w:val="24"/>
        </w:rPr>
        <w:t xml:space="preserve"> et leur mode d’apport, l</w:t>
      </w:r>
      <w:r w:rsidR="00CE5294" w:rsidRPr="007B3BD9">
        <w:rPr>
          <w:rFonts w:ascii="Times New Roman" w:hAnsi="Times New Roman" w:cs="Times New Roman"/>
          <w:bCs/>
          <w:sz w:val="24"/>
          <w:szCs w:val="24"/>
        </w:rPr>
        <w:t>’</w:t>
      </w:r>
      <w:r w:rsidRPr="007B3BD9">
        <w:rPr>
          <w:rFonts w:ascii="Times New Roman" w:hAnsi="Times New Roman" w:cs="Times New Roman"/>
          <w:bCs/>
          <w:sz w:val="24"/>
          <w:szCs w:val="24"/>
        </w:rPr>
        <w:t xml:space="preserve">approche a consisté à demander au producteur, les types de pesticides, ainsi que leur </w:t>
      </w:r>
      <w:r w:rsidR="00CE5294" w:rsidRPr="007B3BD9">
        <w:rPr>
          <w:rFonts w:ascii="Times New Roman" w:hAnsi="Times New Roman" w:cs="Times New Roman"/>
          <w:bCs/>
          <w:sz w:val="24"/>
          <w:szCs w:val="24"/>
        </w:rPr>
        <w:t>quantité</w:t>
      </w:r>
      <w:r w:rsidRPr="007B3BD9">
        <w:rPr>
          <w:rFonts w:ascii="Times New Roman" w:hAnsi="Times New Roman" w:cs="Times New Roman"/>
          <w:bCs/>
          <w:sz w:val="24"/>
          <w:szCs w:val="24"/>
        </w:rPr>
        <w:t xml:space="preserve"> et fréquence pour toutes les spéculations produites au cours d’une année de production</w:t>
      </w:r>
      <w:r w:rsidR="00976E4B" w:rsidRPr="007B3BD9">
        <w:rPr>
          <w:rFonts w:ascii="Times New Roman" w:hAnsi="Times New Roman" w:cs="Times New Roman"/>
          <w:bCs/>
          <w:sz w:val="24"/>
          <w:szCs w:val="24"/>
        </w:rPr>
        <w:t>, en l’occurrence 2018.</w:t>
      </w:r>
      <w:r w:rsidR="00FA4B5A" w:rsidRPr="007B3BD9">
        <w:rPr>
          <w:rFonts w:ascii="Times New Roman" w:hAnsi="Times New Roman" w:cs="Times New Roman"/>
          <w:bCs/>
          <w:sz w:val="24"/>
          <w:szCs w:val="24"/>
        </w:rPr>
        <w:t xml:space="preserve"> </w:t>
      </w:r>
      <w:r w:rsidRPr="007B3BD9">
        <w:rPr>
          <w:rFonts w:ascii="Times New Roman" w:hAnsi="Times New Roman" w:cs="Times New Roman"/>
          <w:sz w:val="24"/>
          <w:szCs w:val="24"/>
        </w:rPr>
        <w:t xml:space="preserve">Les quantités de matières actives ont été estimées sur </w:t>
      </w:r>
      <w:r w:rsidR="00015242" w:rsidRPr="007B3BD9">
        <w:rPr>
          <w:rFonts w:ascii="Times New Roman" w:hAnsi="Times New Roman" w:cs="Times New Roman"/>
          <w:sz w:val="24"/>
          <w:szCs w:val="24"/>
        </w:rPr>
        <w:t xml:space="preserve">la </w:t>
      </w:r>
      <w:r w:rsidRPr="007B3BD9">
        <w:rPr>
          <w:rFonts w:ascii="Times New Roman" w:hAnsi="Times New Roman" w:cs="Times New Roman"/>
          <w:sz w:val="24"/>
          <w:szCs w:val="24"/>
        </w:rPr>
        <w:t>base des quantités de pesticide</w:t>
      </w:r>
      <w:r w:rsidR="00015242" w:rsidRPr="007B3BD9">
        <w:rPr>
          <w:rFonts w:ascii="Times New Roman" w:hAnsi="Times New Roman" w:cs="Times New Roman"/>
          <w:sz w:val="24"/>
          <w:szCs w:val="24"/>
        </w:rPr>
        <w:t>s</w:t>
      </w:r>
      <w:r w:rsidRPr="007B3BD9">
        <w:rPr>
          <w:rFonts w:ascii="Times New Roman" w:hAnsi="Times New Roman" w:cs="Times New Roman"/>
          <w:sz w:val="24"/>
          <w:szCs w:val="24"/>
        </w:rPr>
        <w:t xml:space="preserve"> appliqué</w:t>
      </w:r>
      <w:r w:rsidR="00EC2B28" w:rsidRPr="007B3BD9">
        <w:rPr>
          <w:rFonts w:ascii="Times New Roman" w:hAnsi="Times New Roman" w:cs="Times New Roman"/>
          <w:sz w:val="24"/>
          <w:szCs w:val="24"/>
        </w:rPr>
        <w:t>e</w:t>
      </w:r>
      <w:r w:rsidRPr="007B3BD9">
        <w:rPr>
          <w:rFonts w:ascii="Times New Roman" w:hAnsi="Times New Roman" w:cs="Times New Roman"/>
          <w:sz w:val="24"/>
          <w:szCs w:val="24"/>
        </w:rPr>
        <w:t>s et de leurs teneurs en matières actives</w:t>
      </w:r>
      <w:r w:rsidR="00697CB5" w:rsidRPr="007B3BD9">
        <w:rPr>
          <w:rFonts w:ascii="Times New Roman" w:hAnsi="Times New Roman" w:cs="Times New Roman"/>
          <w:sz w:val="24"/>
          <w:szCs w:val="24"/>
        </w:rPr>
        <w:t xml:space="preserve"> à l’échelle de la </w:t>
      </w:r>
      <w:r w:rsidR="00CE5294" w:rsidRPr="007B3BD9">
        <w:rPr>
          <w:rFonts w:ascii="Times New Roman" w:hAnsi="Times New Roman" w:cs="Times New Roman"/>
          <w:sz w:val="24"/>
          <w:szCs w:val="24"/>
        </w:rPr>
        <w:t>superficie de chaque parcelle</w:t>
      </w:r>
      <w:r w:rsidR="00697CB5" w:rsidRPr="007B3BD9">
        <w:rPr>
          <w:rFonts w:ascii="Times New Roman" w:hAnsi="Times New Roman" w:cs="Times New Roman"/>
          <w:sz w:val="24"/>
          <w:szCs w:val="24"/>
        </w:rPr>
        <w:t>, mesurée</w:t>
      </w:r>
      <w:r w:rsidR="00CE5294" w:rsidRPr="007B3BD9">
        <w:rPr>
          <w:rFonts w:ascii="Times New Roman" w:hAnsi="Times New Roman" w:cs="Times New Roman"/>
          <w:sz w:val="24"/>
          <w:szCs w:val="24"/>
        </w:rPr>
        <w:t xml:space="preserve"> à l’aide d’un GPS</w:t>
      </w:r>
      <w:r w:rsidR="00697CB5" w:rsidRPr="007B3BD9">
        <w:rPr>
          <w:rFonts w:ascii="Times New Roman" w:hAnsi="Times New Roman" w:cs="Times New Roman"/>
          <w:sz w:val="24"/>
          <w:szCs w:val="24"/>
        </w:rPr>
        <w:t xml:space="preserve">. </w:t>
      </w:r>
      <w:r w:rsidR="00860950" w:rsidRPr="007B3BD9">
        <w:rPr>
          <w:rFonts w:ascii="Times New Roman" w:hAnsi="Times New Roman" w:cs="Times New Roman"/>
          <w:sz w:val="24"/>
          <w:szCs w:val="24"/>
        </w:rPr>
        <w:t>Nous avons utilisé l’indicateur de fréquence de traitement phytosanitaire (IFT) pour pondérer les doses de fertilisants apportées.</w:t>
      </w:r>
    </w:p>
    <w:p w14:paraId="10B1E7E5" w14:textId="5EB2C926" w:rsidR="004928BF" w:rsidRPr="007B3BD9" w:rsidRDefault="00FA4B5A" w:rsidP="00CD5AEC">
      <w:pPr>
        <w:spacing w:after="120" w:line="240" w:lineRule="auto"/>
        <w:rPr>
          <w:rFonts w:ascii="Times New Roman" w:hAnsi="Times New Roman" w:cs="Times New Roman"/>
          <w:sz w:val="24"/>
          <w:szCs w:val="24"/>
        </w:rPr>
      </w:pPr>
      <w:r w:rsidRPr="007B3BD9">
        <w:rPr>
          <w:rFonts w:ascii="Times New Roman" w:hAnsi="Times New Roman" w:cs="Times New Roman"/>
          <w:sz w:val="24"/>
          <w:szCs w:val="24"/>
        </w:rPr>
        <w:t>Pour chacune des</w:t>
      </w:r>
      <w:r w:rsidR="00CB3310" w:rsidRPr="007B3BD9">
        <w:rPr>
          <w:rFonts w:ascii="Times New Roman" w:hAnsi="Times New Roman" w:cs="Times New Roman"/>
          <w:sz w:val="24"/>
          <w:szCs w:val="24"/>
        </w:rPr>
        <w:t xml:space="preserve"> trente (30) exploitations retenues, des échantillons de sols ont été prélevés </w:t>
      </w:r>
      <w:r w:rsidR="00697CB5" w:rsidRPr="007B3BD9">
        <w:rPr>
          <w:rFonts w:ascii="Times New Roman" w:hAnsi="Times New Roman" w:cs="Times New Roman"/>
          <w:sz w:val="24"/>
          <w:szCs w:val="24"/>
        </w:rPr>
        <w:t xml:space="preserve">dans la profondeur 0-20 cm </w:t>
      </w:r>
      <w:r w:rsidR="00CB3310" w:rsidRPr="007B3BD9">
        <w:rPr>
          <w:rFonts w:ascii="Times New Roman" w:hAnsi="Times New Roman" w:cs="Times New Roman"/>
          <w:sz w:val="24"/>
          <w:szCs w:val="24"/>
        </w:rPr>
        <w:t xml:space="preserve">afin de déterminer le taux de </w:t>
      </w:r>
      <w:r w:rsidR="00AE56FC" w:rsidRPr="007B3BD9">
        <w:rPr>
          <w:rFonts w:ascii="Times New Roman" w:hAnsi="Times New Roman" w:cs="Times New Roman"/>
          <w:sz w:val="24"/>
          <w:szCs w:val="24"/>
        </w:rPr>
        <w:t>matière</w:t>
      </w:r>
      <w:r w:rsidR="00CB3310" w:rsidRPr="007B3BD9">
        <w:rPr>
          <w:rFonts w:ascii="Times New Roman" w:hAnsi="Times New Roman" w:cs="Times New Roman"/>
          <w:sz w:val="24"/>
          <w:szCs w:val="24"/>
        </w:rPr>
        <w:t xml:space="preserve"> organique, la densité apparente et la </w:t>
      </w:r>
      <w:r w:rsidR="00697CB5" w:rsidRPr="007B3BD9">
        <w:rPr>
          <w:rFonts w:ascii="Times New Roman" w:hAnsi="Times New Roman" w:cs="Times New Roman"/>
          <w:sz w:val="24"/>
          <w:szCs w:val="24"/>
        </w:rPr>
        <w:t>granulo</w:t>
      </w:r>
      <w:r w:rsidRPr="007B3BD9">
        <w:rPr>
          <w:rFonts w:ascii="Times New Roman" w:hAnsi="Times New Roman" w:cs="Times New Roman"/>
          <w:sz w:val="24"/>
          <w:szCs w:val="24"/>
        </w:rPr>
        <w:t>métrie 3 fractions</w:t>
      </w:r>
      <w:r w:rsidR="00CB3310" w:rsidRPr="007B3BD9">
        <w:rPr>
          <w:rFonts w:ascii="Times New Roman" w:hAnsi="Times New Roman" w:cs="Times New Roman"/>
          <w:sz w:val="24"/>
          <w:szCs w:val="24"/>
        </w:rPr>
        <w:t xml:space="preserve">. Pour </w:t>
      </w:r>
      <w:r w:rsidR="00697CB5" w:rsidRPr="007B3BD9">
        <w:rPr>
          <w:rFonts w:ascii="Times New Roman" w:hAnsi="Times New Roman" w:cs="Times New Roman"/>
          <w:sz w:val="24"/>
          <w:szCs w:val="24"/>
        </w:rPr>
        <w:t>le</w:t>
      </w:r>
      <w:r w:rsidR="00CB3310" w:rsidRPr="007B3BD9">
        <w:rPr>
          <w:rFonts w:ascii="Times New Roman" w:hAnsi="Times New Roman" w:cs="Times New Roman"/>
          <w:sz w:val="24"/>
          <w:szCs w:val="24"/>
        </w:rPr>
        <w:t xml:space="preserve"> carbone et la texture du sol, un échantillon composite sur chaque parcelle a été constitué</w:t>
      </w:r>
      <w:r w:rsidR="00B236E1" w:rsidRPr="007B3BD9">
        <w:rPr>
          <w:rFonts w:ascii="Times New Roman" w:hAnsi="Times New Roman" w:cs="Times New Roman"/>
          <w:sz w:val="24"/>
          <w:szCs w:val="24"/>
        </w:rPr>
        <w:t>.</w:t>
      </w:r>
      <w:r w:rsidR="00CB3310" w:rsidRPr="007B3BD9">
        <w:rPr>
          <w:rFonts w:ascii="Times New Roman" w:hAnsi="Times New Roman" w:cs="Times New Roman"/>
          <w:sz w:val="24"/>
          <w:szCs w:val="24"/>
        </w:rPr>
        <w:t xml:space="preserve"> </w:t>
      </w:r>
      <w:r w:rsidR="0050651B" w:rsidRPr="007B3BD9">
        <w:rPr>
          <w:rFonts w:ascii="Times New Roman" w:hAnsi="Times New Roman" w:cs="Times New Roman"/>
          <w:sz w:val="24"/>
          <w:szCs w:val="24"/>
        </w:rPr>
        <w:t xml:space="preserve">Le taux de carbone a été déterminé selon la </w:t>
      </w:r>
      <w:r w:rsidR="00A703ED" w:rsidRPr="007B3BD9">
        <w:rPr>
          <w:rFonts w:ascii="Times New Roman" w:hAnsi="Times New Roman" w:cs="Times New Roman"/>
          <w:sz w:val="24"/>
          <w:szCs w:val="24"/>
        </w:rPr>
        <w:t>méthode</w:t>
      </w:r>
      <w:r w:rsidR="0050651B" w:rsidRPr="007B3BD9">
        <w:rPr>
          <w:rFonts w:ascii="Times New Roman" w:hAnsi="Times New Roman" w:cs="Times New Roman"/>
          <w:sz w:val="24"/>
          <w:szCs w:val="24"/>
        </w:rPr>
        <w:t xml:space="preserve"> de </w:t>
      </w:r>
      <w:r w:rsidR="00645F2B" w:rsidRPr="007B3BD9">
        <w:rPr>
          <w:rFonts w:ascii="Times New Roman" w:hAnsi="Times New Roman" w:cs="Times New Roman"/>
          <w:sz w:val="24"/>
          <w:szCs w:val="24"/>
        </w:rPr>
        <w:t xml:space="preserve">WALKLEY </w:t>
      </w:r>
      <w:r w:rsidR="0050651B" w:rsidRPr="007B3BD9">
        <w:rPr>
          <w:rFonts w:ascii="Times New Roman" w:hAnsi="Times New Roman" w:cs="Times New Roman"/>
          <w:sz w:val="24"/>
          <w:szCs w:val="24"/>
        </w:rPr>
        <w:t xml:space="preserve">and </w:t>
      </w:r>
      <w:r w:rsidR="00645F2B" w:rsidRPr="007B3BD9">
        <w:rPr>
          <w:rFonts w:ascii="Times New Roman" w:hAnsi="Times New Roman" w:cs="Times New Roman"/>
          <w:sz w:val="24"/>
          <w:szCs w:val="24"/>
        </w:rPr>
        <w:t xml:space="preserve">BLACK </w:t>
      </w:r>
      <w:r w:rsidR="0050651B" w:rsidRPr="007B3BD9">
        <w:rPr>
          <w:rFonts w:ascii="Times New Roman" w:hAnsi="Times New Roman" w:cs="Times New Roman"/>
          <w:sz w:val="24"/>
          <w:szCs w:val="24"/>
        </w:rPr>
        <w:t>(1934).</w:t>
      </w:r>
      <w:r w:rsidR="006007D6" w:rsidRPr="007B3BD9">
        <w:rPr>
          <w:rFonts w:ascii="Times New Roman" w:hAnsi="Times New Roman" w:cs="Times New Roman"/>
          <w:sz w:val="24"/>
          <w:szCs w:val="24"/>
        </w:rPr>
        <w:t xml:space="preserve"> </w:t>
      </w:r>
      <w:r w:rsidR="00342FA5" w:rsidRPr="007B3BD9">
        <w:rPr>
          <w:rFonts w:ascii="Times New Roman" w:hAnsi="Times New Roman" w:cs="Times New Roman"/>
          <w:sz w:val="24"/>
          <w:szCs w:val="24"/>
        </w:rPr>
        <w:t>L</w:t>
      </w:r>
      <w:r w:rsidR="006007D6" w:rsidRPr="007B3BD9">
        <w:rPr>
          <w:rFonts w:ascii="Times New Roman" w:hAnsi="Times New Roman" w:cs="Times New Roman"/>
          <w:sz w:val="24"/>
          <w:szCs w:val="24"/>
        </w:rPr>
        <w:t xml:space="preserve">a </w:t>
      </w:r>
      <w:r w:rsidRPr="007B3BD9">
        <w:rPr>
          <w:rFonts w:ascii="Times New Roman" w:hAnsi="Times New Roman" w:cs="Times New Roman"/>
          <w:sz w:val="24"/>
          <w:szCs w:val="24"/>
        </w:rPr>
        <w:t>granulométrie</w:t>
      </w:r>
      <w:r w:rsidR="006007D6" w:rsidRPr="007B3BD9">
        <w:rPr>
          <w:rFonts w:ascii="Times New Roman" w:hAnsi="Times New Roman" w:cs="Times New Roman"/>
          <w:sz w:val="24"/>
          <w:szCs w:val="24"/>
        </w:rPr>
        <w:t xml:space="preserve"> </w:t>
      </w:r>
      <w:r w:rsidR="00B236E1" w:rsidRPr="007B3BD9">
        <w:rPr>
          <w:rFonts w:ascii="Times New Roman" w:hAnsi="Times New Roman" w:cs="Times New Roman"/>
          <w:sz w:val="24"/>
          <w:szCs w:val="24"/>
        </w:rPr>
        <w:t xml:space="preserve">a </w:t>
      </w:r>
      <w:r w:rsidR="006007D6" w:rsidRPr="007B3BD9">
        <w:rPr>
          <w:rFonts w:ascii="Times New Roman" w:hAnsi="Times New Roman" w:cs="Times New Roman"/>
          <w:sz w:val="24"/>
          <w:szCs w:val="24"/>
        </w:rPr>
        <w:t>été déterminée par densimétrie.</w:t>
      </w:r>
      <w:r w:rsidR="00B37902" w:rsidRPr="007B3BD9">
        <w:rPr>
          <w:rFonts w:ascii="Times New Roman" w:hAnsi="Times New Roman" w:cs="Times New Roman"/>
          <w:sz w:val="24"/>
          <w:szCs w:val="24"/>
        </w:rPr>
        <w:t xml:space="preserve"> </w:t>
      </w:r>
      <w:r w:rsidR="00CB3310" w:rsidRPr="007B3BD9">
        <w:rPr>
          <w:rFonts w:ascii="Times New Roman" w:hAnsi="Times New Roman" w:cs="Times New Roman"/>
          <w:sz w:val="24"/>
          <w:szCs w:val="24"/>
        </w:rPr>
        <w:t xml:space="preserve">Pour la détermination de la densité apparente des sols, </w:t>
      </w:r>
      <w:r w:rsidR="00342FA5" w:rsidRPr="007B3BD9">
        <w:rPr>
          <w:rFonts w:ascii="Times New Roman" w:hAnsi="Times New Roman" w:cs="Times New Roman"/>
          <w:sz w:val="24"/>
          <w:szCs w:val="24"/>
        </w:rPr>
        <w:t xml:space="preserve">trois </w:t>
      </w:r>
      <w:r w:rsidR="00CB3310" w:rsidRPr="007B3BD9">
        <w:rPr>
          <w:rFonts w:ascii="Times New Roman" w:hAnsi="Times New Roman" w:cs="Times New Roman"/>
          <w:sz w:val="24"/>
          <w:szCs w:val="24"/>
        </w:rPr>
        <w:t xml:space="preserve">échantillons </w:t>
      </w:r>
      <w:r w:rsidR="00342FA5" w:rsidRPr="007B3BD9">
        <w:rPr>
          <w:rFonts w:ascii="Times New Roman" w:hAnsi="Times New Roman" w:cs="Times New Roman"/>
          <w:sz w:val="24"/>
          <w:szCs w:val="24"/>
        </w:rPr>
        <w:t xml:space="preserve">par parcelle </w:t>
      </w:r>
      <w:r w:rsidR="00CB3310" w:rsidRPr="007B3BD9">
        <w:rPr>
          <w:rFonts w:ascii="Times New Roman" w:hAnsi="Times New Roman" w:cs="Times New Roman"/>
          <w:sz w:val="24"/>
          <w:szCs w:val="24"/>
        </w:rPr>
        <w:t xml:space="preserve">ont été prélevés à l’aide de </w:t>
      </w:r>
      <w:proofErr w:type="spellStart"/>
      <w:r w:rsidR="00CB3310" w:rsidRPr="007B3BD9">
        <w:rPr>
          <w:rFonts w:ascii="Times New Roman" w:hAnsi="Times New Roman" w:cs="Times New Roman"/>
          <w:sz w:val="24"/>
          <w:szCs w:val="24"/>
        </w:rPr>
        <w:t>kopeckis</w:t>
      </w:r>
      <w:proofErr w:type="spellEnd"/>
      <w:r w:rsidR="00CB3310" w:rsidRPr="007B3BD9">
        <w:rPr>
          <w:rFonts w:ascii="Times New Roman" w:hAnsi="Times New Roman" w:cs="Times New Roman"/>
          <w:sz w:val="24"/>
          <w:szCs w:val="24"/>
        </w:rPr>
        <w:t xml:space="preserve"> d’un</w:t>
      </w:r>
      <w:r w:rsidR="00342FA5" w:rsidRPr="007B3BD9">
        <w:rPr>
          <w:rFonts w:ascii="Times New Roman" w:hAnsi="Times New Roman" w:cs="Times New Roman"/>
          <w:sz w:val="24"/>
          <w:szCs w:val="24"/>
        </w:rPr>
        <w:t xml:space="preserve"> volume (V) </w:t>
      </w:r>
      <w:r w:rsidR="00CB3310" w:rsidRPr="007B3BD9">
        <w:rPr>
          <w:rFonts w:ascii="Times New Roman" w:hAnsi="Times New Roman" w:cs="Times New Roman"/>
          <w:sz w:val="24"/>
          <w:szCs w:val="24"/>
        </w:rPr>
        <w:t>de 100 cm</w:t>
      </w:r>
      <w:r w:rsidR="00CB3310" w:rsidRPr="007B3BD9">
        <w:rPr>
          <w:rFonts w:ascii="Times New Roman" w:hAnsi="Times New Roman" w:cs="Times New Roman"/>
          <w:sz w:val="24"/>
          <w:szCs w:val="24"/>
          <w:vertAlign w:val="superscript"/>
        </w:rPr>
        <w:t>3</w:t>
      </w:r>
      <w:r w:rsidR="00CB3310" w:rsidRPr="007B3BD9">
        <w:rPr>
          <w:rFonts w:ascii="Times New Roman" w:hAnsi="Times New Roman" w:cs="Times New Roman"/>
          <w:sz w:val="24"/>
          <w:szCs w:val="24"/>
        </w:rPr>
        <w:t xml:space="preserve">. </w:t>
      </w:r>
      <w:r w:rsidR="004928BF" w:rsidRPr="007B3BD9">
        <w:rPr>
          <w:rFonts w:ascii="Times New Roman" w:hAnsi="Times New Roman" w:cs="Times New Roman"/>
          <w:sz w:val="24"/>
          <w:szCs w:val="24"/>
        </w:rPr>
        <w:t xml:space="preserve">La densité apparente a été </w:t>
      </w:r>
      <w:r w:rsidR="00342FA5" w:rsidRPr="007B3BD9">
        <w:rPr>
          <w:rFonts w:ascii="Times New Roman" w:hAnsi="Times New Roman" w:cs="Times New Roman"/>
          <w:sz w:val="24"/>
          <w:szCs w:val="24"/>
        </w:rPr>
        <w:t xml:space="preserve">calculée </w:t>
      </w:r>
      <w:r w:rsidR="004928BF" w:rsidRPr="007B3BD9">
        <w:rPr>
          <w:rFonts w:ascii="Times New Roman" w:hAnsi="Times New Roman" w:cs="Times New Roman"/>
          <w:sz w:val="24"/>
          <w:szCs w:val="24"/>
        </w:rPr>
        <w:t>a</w:t>
      </w:r>
      <w:r w:rsidR="008048AD" w:rsidRPr="007B3BD9">
        <w:rPr>
          <w:rFonts w:ascii="Times New Roman" w:hAnsi="Times New Roman" w:cs="Times New Roman"/>
          <w:sz w:val="24"/>
          <w:szCs w:val="24"/>
        </w:rPr>
        <w:t xml:space="preserve">près </w:t>
      </w:r>
      <w:r w:rsidR="00824A6F" w:rsidRPr="007B3BD9">
        <w:rPr>
          <w:rFonts w:ascii="Times New Roman" w:hAnsi="Times New Roman" w:cs="Times New Roman"/>
          <w:sz w:val="24"/>
          <w:szCs w:val="24"/>
        </w:rPr>
        <w:t>séchage</w:t>
      </w:r>
      <w:r w:rsidR="008048AD" w:rsidRPr="007B3BD9">
        <w:rPr>
          <w:rFonts w:ascii="Times New Roman" w:hAnsi="Times New Roman" w:cs="Times New Roman"/>
          <w:sz w:val="24"/>
          <w:szCs w:val="24"/>
        </w:rPr>
        <w:t xml:space="preserve"> à l’étuve </w:t>
      </w:r>
      <w:r w:rsidR="00342FA5" w:rsidRPr="007B3BD9">
        <w:rPr>
          <w:rFonts w:ascii="Times New Roman" w:hAnsi="Times New Roman" w:cs="Times New Roman"/>
          <w:sz w:val="24"/>
          <w:szCs w:val="24"/>
        </w:rPr>
        <w:t>de l’échantillon (</w:t>
      </w:r>
      <w:proofErr w:type="spellStart"/>
      <w:r w:rsidR="00342FA5" w:rsidRPr="007B3BD9">
        <w:rPr>
          <w:rFonts w:ascii="Times New Roman" w:hAnsi="Times New Roman" w:cs="Times New Roman"/>
          <w:sz w:val="24"/>
          <w:szCs w:val="24"/>
        </w:rPr>
        <w:t>Psec</w:t>
      </w:r>
      <w:proofErr w:type="spellEnd"/>
      <w:r w:rsidR="00342FA5" w:rsidRPr="007B3BD9">
        <w:rPr>
          <w:rFonts w:ascii="Times New Roman" w:hAnsi="Times New Roman" w:cs="Times New Roman"/>
          <w:sz w:val="24"/>
          <w:szCs w:val="24"/>
        </w:rPr>
        <w:t xml:space="preserve">) </w:t>
      </w:r>
      <w:r w:rsidR="008048AD" w:rsidRPr="007B3BD9">
        <w:rPr>
          <w:rFonts w:ascii="Times New Roman" w:hAnsi="Times New Roman" w:cs="Times New Roman"/>
          <w:sz w:val="24"/>
          <w:szCs w:val="24"/>
        </w:rPr>
        <w:t>selon la formule</w:t>
      </w:r>
      <w:r w:rsidR="00342FA5" w:rsidRPr="007B3BD9">
        <w:rPr>
          <w:rFonts w:ascii="Times New Roman" w:hAnsi="Times New Roman" w:cs="Times New Roman"/>
          <w:sz w:val="24"/>
          <w:szCs w:val="24"/>
        </w:rPr>
        <w:t xml:space="preserve"> </w:t>
      </w:r>
      <w:r w:rsidR="004128DE">
        <w:rPr>
          <w:rFonts w:ascii="Times New Roman" w:hAnsi="Times New Roman" w:cs="Times New Roman"/>
          <w:sz w:val="24"/>
          <w:szCs w:val="24"/>
        </w:rPr>
        <w:t>1</w:t>
      </w:r>
      <w:r w:rsidR="00342FA5" w:rsidRPr="007B3BD9">
        <w:rPr>
          <w:rFonts w:ascii="Times New Roman" w:hAnsi="Times New Roman" w:cs="Times New Roman"/>
          <w:sz w:val="24"/>
          <w:szCs w:val="24"/>
        </w:rPr>
        <w:t xml:space="preserve">. </w:t>
      </w:r>
    </w:p>
    <w:p w14:paraId="690FED01" w14:textId="030C3F3F" w:rsidR="00824A6F" w:rsidRPr="007B3BD9" w:rsidRDefault="004928BF" w:rsidP="00CD5AEC">
      <w:pPr>
        <w:spacing w:after="120" w:line="240" w:lineRule="auto"/>
        <w:rPr>
          <w:rFonts w:ascii="Times New Roman" w:eastAsiaTheme="minorEastAsia" w:hAnsi="Times New Roman" w:cs="Times New Roman"/>
          <w:sz w:val="24"/>
          <w:szCs w:val="24"/>
        </w:rPr>
      </w:pPr>
      <w:r w:rsidRPr="007B3BD9">
        <w:rPr>
          <w:rFonts w:ascii="Times New Roman" w:hAnsi="Times New Roman" w:cs="Times New Roman"/>
          <w:sz w:val="24"/>
          <w:szCs w:val="24"/>
        </w:rPr>
        <w:t xml:space="preserve">Da= </w:t>
      </w:r>
      <m:oMath>
        <m:f>
          <m:fPr>
            <m:ctrlPr>
              <w:rPr>
                <w:rFonts w:ascii="Cambria Math" w:eastAsiaTheme="minorEastAsia" w:hAnsi="Cambria Math" w:cs="Times New Roman"/>
                <w:sz w:val="24"/>
                <w:szCs w:val="24"/>
              </w:rPr>
            </m:ctrlPr>
          </m:fPr>
          <m:num>
            <m:r>
              <m:rPr>
                <m:sty m:val="p"/>
              </m:rPr>
              <w:rPr>
                <w:rFonts w:ascii="Cambria Math" w:hAnsi="Cambria Math" w:cs="Times New Roman"/>
                <w:sz w:val="24"/>
                <w:szCs w:val="24"/>
                <w:vertAlign w:val="subscript"/>
              </w:rPr>
              <m:t>Psec</m:t>
            </m:r>
          </m:num>
          <m:den>
            <m:r>
              <w:rPr>
                <w:rFonts w:ascii="Cambria Math" w:eastAsiaTheme="minorEastAsia" w:hAnsi="Cambria Math" w:cs="Times New Roman"/>
                <w:sz w:val="24"/>
                <w:szCs w:val="24"/>
              </w:rPr>
              <m:t>V</m:t>
            </m:r>
          </m:den>
        </m:f>
      </m:oMath>
      <w:r w:rsidRPr="007B3BD9">
        <w:rPr>
          <w:rFonts w:ascii="Times New Roman" w:eastAsiaTheme="minorEastAsia" w:hAnsi="Times New Roman" w:cs="Times New Roman"/>
          <w:sz w:val="24"/>
          <w:szCs w:val="24"/>
        </w:rPr>
        <w:t xml:space="preserve"> </w:t>
      </w:r>
      <w:r w:rsidR="00824A6F" w:rsidRPr="007B3BD9">
        <w:rPr>
          <w:rFonts w:ascii="Times New Roman" w:eastAsiaTheme="minorEastAsia" w:hAnsi="Times New Roman" w:cs="Times New Roman"/>
          <w:sz w:val="24"/>
          <w:szCs w:val="24"/>
        </w:rPr>
        <w:t xml:space="preserve">                                                                    </w:t>
      </w:r>
      <w:r w:rsidRPr="007B3BD9">
        <w:rPr>
          <w:rFonts w:ascii="Times New Roman" w:eastAsiaTheme="minorEastAsia" w:hAnsi="Times New Roman" w:cs="Times New Roman"/>
          <w:sz w:val="24"/>
          <w:szCs w:val="24"/>
        </w:rPr>
        <w:t xml:space="preserve"> </w:t>
      </w:r>
      <w:r w:rsidR="00FD41E5" w:rsidRPr="007B3BD9">
        <w:rPr>
          <w:rFonts w:ascii="Times New Roman" w:eastAsiaTheme="minorEastAsia" w:hAnsi="Times New Roman" w:cs="Times New Roman"/>
          <w:i/>
          <w:sz w:val="24"/>
          <w:szCs w:val="24"/>
        </w:rPr>
        <w:t>(</w:t>
      </w:r>
      <w:r w:rsidR="004128DE">
        <w:rPr>
          <w:rFonts w:ascii="Times New Roman" w:eastAsiaTheme="minorEastAsia" w:hAnsi="Times New Roman" w:cs="Times New Roman"/>
          <w:i/>
          <w:sz w:val="24"/>
          <w:szCs w:val="24"/>
        </w:rPr>
        <w:t>1</w:t>
      </w:r>
      <w:r w:rsidRPr="007B3BD9">
        <w:rPr>
          <w:rFonts w:ascii="Times New Roman" w:eastAsiaTheme="minorEastAsia" w:hAnsi="Times New Roman" w:cs="Times New Roman"/>
          <w:i/>
          <w:sz w:val="24"/>
          <w:szCs w:val="24"/>
        </w:rPr>
        <w:t>)</w:t>
      </w:r>
    </w:p>
    <w:p w14:paraId="141A05C6" w14:textId="266C2D34" w:rsidR="004928BF" w:rsidRDefault="004928BF" w:rsidP="00CD5AEC">
      <w:pPr>
        <w:spacing w:after="120" w:line="240" w:lineRule="auto"/>
        <w:rPr>
          <w:rFonts w:ascii="Times New Roman" w:eastAsiaTheme="minorEastAsia" w:hAnsi="Times New Roman" w:cs="Times New Roman"/>
          <w:i/>
          <w:sz w:val="24"/>
          <w:szCs w:val="24"/>
        </w:rPr>
      </w:pPr>
      <w:proofErr w:type="gramStart"/>
      <w:r w:rsidRPr="007B3BD9">
        <w:rPr>
          <w:rFonts w:ascii="Times New Roman" w:eastAsiaTheme="minorEastAsia" w:hAnsi="Times New Roman" w:cs="Times New Roman"/>
          <w:sz w:val="24"/>
          <w:szCs w:val="24"/>
        </w:rPr>
        <w:lastRenderedPageBreak/>
        <w:t>avec</w:t>
      </w:r>
      <w:proofErr w:type="gramEnd"/>
      <w:r w:rsidRPr="007B3BD9">
        <w:rPr>
          <w:rFonts w:ascii="Times New Roman" w:eastAsiaTheme="minorEastAsia" w:hAnsi="Times New Roman" w:cs="Times New Roman"/>
          <w:sz w:val="24"/>
          <w:szCs w:val="24"/>
        </w:rPr>
        <w:t xml:space="preserve"> </w:t>
      </w:r>
      <w:r w:rsidRPr="007B3BD9">
        <w:rPr>
          <w:rFonts w:ascii="Times New Roman" w:eastAsiaTheme="minorEastAsia" w:hAnsi="Times New Roman" w:cs="Times New Roman"/>
          <w:i/>
          <w:sz w:val="24"/>
          <w:szCs w:val="24"/>
        </w:rPr>
        <w:t xml:space="preserve">Da : densité apparente ; </w:t>
      </w:r>
      <w:proofErr w:type="spellStart"/>
      <w:r w:rsidRPr="007B3BD9">
        <w:rPr>
          <w:rFonts w:ascii="Times New Roman" w:eastAsiaTheme="minorEastAsia" w:hAnsi="Times New Roman" w:cs="Times New Roman"/>
          <w:i/>
          <w:sz w:val="24"/>
          <w:szCs w:val="24"/>
        </w:rPr>
        <w:t>Psec</w:t>
      </w:r>
      <w:proofErr w:type="spellEnd"/>
      <w:r w:rsidRPr="007B3BD9">
        <w:rPr>
          <w:rFonts w:ascii="Times New Roman" w:eastAsiaTheme="minorEastAsia" w:hAnsi="Times New Roman" w:cs="Times New Roman"/>
          <w:i/>
          <w:sz w:val="24"/>
          <w:szCs w:val="24"/>
        </w:rPr>
        <w:t> : Poids sec après séchage à l’étuve à 105°c</w:t>
      </w:r>
      <w:r w:rsidRPr="007B3BD9">
        <w:rPr>
          <w:rFonts w:ascii="Times New Roman" w:eastAsiaTheme="minorEastAsia" w:hAnsi="Times New Roman" w:cs="Times New Roman"/>
          <w:sz w:val="24"/>
          <w:szCs w:val="24"/>
        </w:rPr>
        <w:t xml:space="preserve"> </w:t>
      </w:r>
      <w:r w:rsidRPr="007B3BD9">
        <w:rPr>
          <w:rFonts w:ascii="Times New Roman" w:eastAsiaTheme="minorEastAsia" w:hAnsi="Times New Roman" w:cs="Times New Roman"/>
          <w:i/>
          <w:sz w:val="24"/>
          <w:szCs w:val="24"/>
        </w:rPr>
        <w:t xml:space="preserve">pendant 24 heures et V : volume du </w:t>
      </w:r>
      <w:proofErr w:type="spellStart"/>
      <w:r w:rsidRPr="007B3BD9">
        <w:rPr>
          <w:rFonts w:ascii="Times New Roman" w:eastAsiaTheme="minorEastAsia" w:hAnsi="Times New Roman" w:cs="Times New Roman"/>
          <w:i/>
          <w:sz w:val="24"/>
          <w:szCs w:val="24"/>
        </w:rPr>
        <w:t>kopeckis</w:t>
      </w:r>
      <w:proofErr w:type="spellEnd"/>
      <w:r w:rsidRPr="007B3BD9">
        <w:rPr>
          <w:rFonts w:ascii="Times New Roman" w:eastAsiaTheme="minorEastAsia" w:hAnsi="Times New Roman" w:cs="Times New Roman"/>
          <w:i/>
          <w:sz w:val="24"/>
          <w:szCs w:val="24"/>
        </w:rPr>
        <w:t>.</w:t>
      </w:r>
    </w:p>
    <w:p w14:paraId="56C481F3" w14:textId="03AFE470" w:rsidR="00F46B60" w:rsidRPr="007B3BD9" w:rsidRDefault="00342FA5" w:rsidP="00CD5AEC">
      <w:pPr>
        <w:spacing w:after="120" w:line="240" w:lineRule="auto"/>
        <w:rPr>
          <w:rFonts w:ascii="Times New Roman" w:hAnsi="Times New Roman" w:cs="Times New Roman"/>
          <w:sz w:val="24"/>
          <w:szCs w:val="24"/>
        </w:rPr>
      </w:pPr>
      <w:r w:rsidRPr="007B3BD9">
        <w:rPr>
          <w:rFonts w:ascii="Times New Roman" w:hAnsi="Times New Roman" w:cs="Times New Roman"/>
          <w:sz w:val="24"/>
          <w:szCs w:val="24"/>
        </w:rPr>
        <w:t>En outre, l</w:t>
      </w:r>
      <w:r w:rsidR="00A703ED" w:rsidRPr="007B3BD9">
        <w:rPr>
          <w:rFonts w:ascii="Times New Roman" w:hAnsi="Times New Roman" w:cs="Times New Roman"/>
          <w:sz w:val="24"/>
          <w:szCs w:val="24"/>
        </w:rPr>
        <w:t xml:space="preserve">es pentes des </w:t>
      </w:r>
      <w:r w:rsidRPr="007B3BD9">
        <w:rPr>
          <w:rFonts w:ascii="Times New Roman" w:hAnsi="Times New Roman" w:cs="Times New Roman"/>
          <w:sz w:val="24"/>
          <w:szCs w:val="24"/>
        </w:rPr>
        <w:t xml:space="preserve">parcelles </w:t>
      </w:r>
      <w:r w:rsidR="00A703ED" w:rsidRPr="007B3BD9">
        <w:rPr>
          <w:rFonts w:ascii="Times New Roman" w:hAnsi="Times New Roman" w:cs="Times New Roman"/>
          <w:sz w:val="24"/>
          <w:szCs w:val="24"/>
        </w:rPr>
        <w:t xml:space="preserve">ont été estimées par la méthode de lecture directe de la déclivité du terrain avec le clinomètre </w:t>
      </w:r>
      <w:r w:rsidRPr="007B3BD9">
        <w:rPr>
          <w:rFonts w:ascii="Times New Roman" w:hAnsi="Times New Roman" w:cs="Times New Roman"/>
          <w:sz w:val="24"/>
          <w:szCs w:val="24"/>
        </w:rPr>
        <w:t>« </w:t>
      </w:r>
      <w:proofErr w:type="spellStart"/>
      <w:r w:rsidR="00A703ED" w:rsidRPr="007B3BD9">
        <w:rPr>
          <w:rFonts w:ascii="Times New Roman" w:hAnsi="Times New Roman" w:cs="Times New Roman"/>
          <w:sz w:val="24"/>
          <w:szCs w:val="24"/>
        </w:rPr>
        <w:t>suunto</w:t>
      </w:r>
      <w:proofErr w:type="spellEnd"/>
      <w:r w:rsidRPr="007B3BD9">
        <w:rPr>
          <w:rFonts w:ascii="Times New Roman" w:hAnsi="Times New Roman" w:cs="Times New Roman"/>
          <w:sz w:val="24"/>
          <w:szCs w:val="24"/>
        </w:rPr>
        <w:t> »</w:t>
      </w:r>
      <w:r w:rsidR="00A703ED" w:rsidRPr="007B3BD9">
        <w:rPr>
          <w:rFonts w:ascii="Times New Roman" w:hAnsi="Times New Roman" w:cs="Times New Roman"/>
          <w:sz w:val="24"/>
          <w:szCs w:val="24"/>
        </w:rPr>
        <w:t xml:space="preserve">. </w:t>
      </w:r>
      <w:r w:rsidRPr="007B3BD9">
        <w:rPr>
          <w:rFonts w:ascii="Times New Roman" w:hAnsi="Times New Roman" w:cs="Times New Roman"/>
          <w:sz w:val="24"/>
          <w:szCs w:val="24"/>
        </w:rPr>
        <w:t xml:space="preserve">La distance entre le champ et le plan d’eau le plus proche, la largeur du plan d’eau sont estimées à l’aide d’un GPS et du logiciel Google </w:t>
      </w:r>
      <w:proofErr w:type="spellStart"/>
      <w:r w:rsidRPr="007B3BD9">
        <w:rPr>
          <w:rFonts w:ascii="Times New Roman" w:hAnsi="Times New Roman" w:cs="Times New Roman"/>
          <w:sz w:val="24"/>
          <w:szCs w:val="24"/>
        </w:rPr>
        <w:t>earth</w:t>
      </w:r>
      <w:proofErr w:type="spellEnd"/>
      <w:r w:rsidRPr="007B3BD9">
        <w:rPr>
          <w:rFonts w:ascii="Times New Roman" w:hAnsi="Times New Roman" w:cs="Times New Roman"/>
          <w:sz w:val="24"/>
          <w:szCs w:val="24"/>
        </w:rPr>
        <w:t xml:space="preserve"> pro. La profondeur du plan d’eau est mesurée à l’aide d’une perche. Elle est plong</w:t>
      </w:r>
      <w:r w:rsidR="00BA0923" w:rsidRPr="007B3BD9">
        <w:rPr>
          <w:rFonts w:ascii="Times New Roman" w:hAnsi="Times New Roman" w:cs="Times New Roman"/>
          <w:sz w:val="24"/>
          <w:szCs w:val="24"/>
        </w:rPr>
        <w:t>ée</w:t>
      </w:r>
      <w:r w:rsidRPr="007B3BD9">
        <w:rPr>
          <w:rFonts w:ascii="Times New Roman" w:hAnsi="Times New Roman" w:cs="Times New Roman"/>
          <w:sz w:val="24"/>
          <w:szCs w:val="24"/>
        </w:rPr>
        <w:t xml:space="preserve"> dans l’eau puis retirée, et la partie immergée est mesurée à l’aide d’une règle graduée. La meure est répétée à trois endroits différents afin d</w:t>
      </w:r>
      <w:r w:rsidR="00F37728" w:rsidRPr="007B3BD9">
        <w:rPr>
          <w:rFonts w:ascii="Times New Roman" w:hAnsi="Times New Roman" w:cs="Times New Roman"/>
          <w:sz w:val="24"/>
          <w:szCs w:val="24"/>
        </w:rPr>
        <w:t xml:space="preserve">e </w:t>
      </w:r>
      <w:r w:rsidR="00BA0923" w:rsidRPr="007B3BD9">
        <w:rPr>
          <w:rFonts w:ascii="Times New Roman" w:hAnsi="Times New Roman" w:cs="Times New Roman"/>
          <w:sz w:val="24"/>
          <w:szCs w:val="24"/>
        </w:rPr>
        <w:t>déterminer</w:t>
      </w:r>
      <w:r w:rsidRPr="007B3BD9">
        <w:rPr>
          <w:rFonts w:ascii="Times New Roman" w:hAnsi="Times New Roman" w:cs="Times New Roman"/>
          <w:sz w:val="24"/>
          <w:szCs w:val="24"/>
        </w:rPr>
        <w:t xml:space="preserve"> une profondeur moyenne du cours d’eau.</w:t>
      </w:r>
      <w:r w:rsidR="00CD5AEC">
        <w:rPr>
          <w:rFonts w:ascii="Times New Roman" w:hAnsi="Times New Roman" w:cs="Times New Roman"/>
          <w:sz w:val="24"/>
          <w:szCs w:val="24"/>
        </w:rPr>
        <w:t xml:space="preserve"> </w:t>
      </w:r>
      <w:r w:rsidR="004928BF" w:rsidRPr="007B3BD9">
        <w:rPr>
          <w:rFonts w:ascii="Times New Roman" w:hAnsi="Times New Roman" w:cs="Times New Roman"/>
          <w:sz w:val="24"/>
          <w:szCs w:val="24"/>
        </w:rPr>
        <w:t>L</w:t>
      </w:r>
      <w:r w:rsidR="00B54735" w:rsidRPr="007B3BD9">
        <w:rPr>
          <w:rFonts w:ascii="Times New Roman" w:hAnsi="Times New Roman" w:cs="Times New Roman"/>
          <w:sz w:val="24"/>
          <w:szCs w:val="24"/>
        </w:rPr>
        <w:t>es données météorologiques (</w:t>
      </w:r>
      <w:r w:rsidR="00957160" w:rsidRPr="007B3BD9">
        <w:rPr>
          <w:rFonts w:ascii="Times New Roman" w:hAnsi="Times New Roman" w:cs="Times New Roman"/>
          <w:sz w:val="24"/>
          <w:szCs w:val="24"/>
        </w:rPr>
        <w:t>température, précipitations) ont été obtenu</w:t>
      </w:r>
      <w:r w:rsidRPr="007B3BD9">
        <w:rPr>
          <w:rFonts w:ascii="Times New Roman" w:hAnsi="Times New Roman" w:cs="Times New Roman"/>
          <w:sz w:val="24"/>
          <w:szCs w:val="24"/>
        </w:rPr>
        <w:t>es</w:t>
      </w:r>
      <w:r w:rsidR="00957160" w:rsidRPr="007B3BD9">
        <w:rPr>
          <w:rFonts w:ascii="Times New Roman" w:hAnsi="Times New Roman" w:cs="Times New Roman"/>
          <w:sz w:val="24"/>
          <w:szCs w:val="24"/>
        </w:rPr>
        <w:t xml:space="preserve"> à</w:t>
      </w:r>
      <w:r w:rsidR="00B54735" w:rsidRPr="007B3BD9">
        <w:rPr>
          <w:rFonts w:ascii="Times New Roman" w:hAnsi="Times New Roman" w:cs="Times New Roman"/>
          <w:sz w:val="24"/>
          <w:szCs w:val="24"/>
        </w:rPr>
        <w:t xml:space="preserve"> l’aéroport de Bobo Dioul</w:t>
      </w:r>
      <w:r w:rsidR="00957160" w:rsidRPr="007B3BD9">
        <w:rPr>
          <w:rFonts w:ascii="Times New Roman" w:hAnsi="Times New Roman" w:cs="Times New Roman"/>
          <w:sz w:val="24"/>
          <w:szCs w:val="24"/>
        </w:rPr>
        <w:t>asso</w:t>
      </w:r>
      <w:r w:rsidR="00A55D62" w:rsidRPr="007B3BD9">
        <w:rPr>
          <w:rFonts w:ascii="Times New Roman" w:hAnsi="Times New Roman" w:cs="Times New Roman"/>
          <w:sz w:val="24"/>
          <w:szCs w:val="24"/>
        </w:rPr>
        <w:t>.</w:t>
      </w:r>
    </w:p>
    <w:p w14:paraId="46AC4E7E" w14:textId="52C718EB" w:rsidR="00285870" w:rsidRPr="007B3BD9" w:rsidRDefault="00EB7D2E" w:rsidP="00CD5AEC">
      <w:pPr>
        <w:spacing w:after="120" w:line="240" w:lineRule="auto"/>
        <w:rPr>
          <w:rFonts w:ascii="Times New Roman" w:hAnsi="Times New Roman" w:cs="Times New Roman"/>
          <w:b/>
          <w:sz w:val="24"/>
          <w:szCs w:val="24"/>
        </w:rPr>
      </w:pPr>
      <w:r>
        <w:rPr>
          <w:rFonts w:ascii="Times New Roman" w:hAnsi="Times New Roman" w:cs="Times New Roman"/>
          <w:b/>
          <w:sz w:val="24"/>
          <w:szCs w:val="24"/>
        </w:rPr>
        <w:t>1</w:t>
      </w:r>
      <w:r w:rsidR="00285870" w:rsidRPr="007B3BD9">
        <w:rPr>
          <w:rFonts w:ascii="Times New Roman" w:hAnsi="Times New Roman" w:cs="Times New Roman"/>
          <w:b/>
          <w:sz w:val="24"/>
          <w:szCs w:val="24"/>
        </w:rPr>
        <w:t>.</w:t>
      </w:r>
      <w:r w:rsidR="00DB30B4">
        <w:rPr>
          <w:rFonts w:ascii="Times New Roman" w:hAnsi="Times New Roman" w:cs="Times New Roman"/>
          <w:b/>
          <w:sz w:val="24"/>
          <w:szCs w:val="24"/>
        </w:rPr>
        <w:t>3</w:t>
      </w:r>
      <w:r w:rsidR="00285870" w:rsidRPr="007B3BD9">
        <w:rPr>
          <w:rFonts w:ascii="Times New Roman" w:hAnsi="Times New Roman" w:cs="Times New Roman"/>
          <w:b/>
          <w:sz w:val="24"/>
          <w:szCs w:val="24"/>
        </w:rPr>
        <w:t xml:space="preserve"> Indicateur d’évaluation des risques</w:t>
      </w:r>
    </w:p>
    <w:p w14:paraId="5B4C2491" w14:textId="4C0E6611" w:rsidR="00285870" w:rsidRPr="007B3BD9" w:rsidRDefault="00285870" w:rsidP="00CD5AEC">
      <w:pPr>
        <w:autoSpaceDE w:val="0"/>
        <w:autoSpaceDN w:val="0"/>
        <w:adjustRightInd w:val="0"/>
        <w:spacing w:after="120" w:line="240" w:lineRule="auto"/>
        <w:rPr>
          <w:rFonts w:ascii="Times New Roman" w:hAnsi="Times New Roman" w:cs="Times New Roman"/>
          <w:sz w:val="24"/>
          <w:szCs w:val="24"/>
        </w:rPr>
      </w:pPr>
      <w:r w:rsidRPr="007B3BD9">
        <w:rPr>
          <w:rFonts w:ascii="Times New Roman" w:hAnsi="Times New Roman" w:cs="Times New Roman"/>
          <w:sz w:val="24"/>
          <w:szCs w:val="24"/>
        </w:rPr>
        <w:t xml:space="preserve">Pour évaluer les risques de pollution environnementale par les pesticides, nous avons opté pour l’indicateur « </w:t>
      </w:r>
      <w:proofErr w:type="gramStart"/>
      <w:r w:rsidRPr="007B3BD9">
        <w:rPr>
          <w:rFonts w:ascii="Times New Roman" w:hAnsi="Times New Roman" w:cs="Times New Roman"/>
          <w:sz w:val="24"/>
          <w:szCs w:val="24"/>
        </w:rPr>
        <w:t>EPRIP»</w:t>
      </w:r>
      <w:proofErr w:type="gramEnd"/>
      <w:r w:rsidRPr="007B3BD9">
        <w:rPr>
          <w:rFonts w:ascii="Times New Roman" w:hAnsi="Times New Roman" w:cs="Times New Roman"/>
          <w:sz w:val="24"/>
          <w:szCs w:val="24"/>
        </w:rPr>
        <w:t xml:space="preserve"> (</w:t>
      </w:r>
      <w:proofErr w:type="spellStart"/>
      <w:r w:rsidRPr="007B3BD9">
        <w:rPr>
          <w:rFonts w:ascii="Times New Roman" w:hAnsi="Times New Roman" w:cs="Times New Roman"/>
          <w:sz w:val="24"/>
          <w:szCs w:val="24"/>
        </w:rPr>
        <w:t>Environmental</w:t>
      </w:r>
      <w:proofErr w:type="spellEnd"/>
      <w:r w:rsidRPr="007B3BD9">
        <w:rPr>
          <w:rFonts w:ascii="Times New Roman" w:hAnsi="Times New Roman" w:cs="Times New Roman"/>
          <w:sz w:val="24"/>
          <w:szCs w:val="24"/>
        </w:rPr>
        <w:t xml:space="preserve"> </w:t>
      </w:r>
      <w:proofErr w:type="spellStart"/>
      <w:r w:rsidRPr="007B3BD9">
        <w:rPr>
          <w:rFonts w:ascii="Times New Roman" w:hAnsi="Times New Roman" w:cs="Times New Roman"/>
          <w:sz w:val="24"/>
          <w:szCs w:val="24"/>
        </w:rPr>
        <w:t>Potential</w:t>
      </w:r>
      <w:proofErr w:type="spellEnd"/>
      <w:r w:rsidRPr="007B3BD9">
        <w:rPr>
          <w:rFonts w:ascii="Times New Roman" w:hAnsi="Times New Roman" w:cs="Times New Roman"/>
          <w:sz w:val="24"/>
          <w:szCs w:val="24"/>
        </w:rPr>
        <w:t xml:space="preserve"> </w:t>
      </w:r>
      <w:proofErr w:type="spellStart"/>
      <w:r w:rsidRPr="007B3BD9">
        <w:rPr>
          <w:rFonts w:ascii="Times New Roman" w:hAnsi="Times New Roman" w:cs="Times New Roman"/>
          <w:sz w:val="24"/>
          <w:szCs w:val="24"/>
        </w:rPr>
        <w:t>Risk</w:t>
      </w:r>
      <w:proofErr w:type="spellEnd"/>
      <w:r w:rsidRPr="007B3BD9">
        <w:rPr>
          <w:rFonts w:ascii="Times New Roman" w:hAnsi="Times New Roman" w:cs="Times New Roman"/>
          <w:sz w:val="24"/>
          <w:szCs w:val="24"/>
        </w:rPr>
        <w:t xml:space="preserve"> </w:t>
      </w:r>
      <w:proofErr w:type="spellStart"/>
      <w:r w:rsidRPr="007B3BD9">
        <w:rPr>
          <w:rFonts w:ascii="Times New Roman" w:hAnsi="Times New Roman" w:cs="Times New Roman"/>
          <w:sz w:val="24"/>
          <w:szCs w:val="24"/>
        </w:rPr>
        <w:t>Indicator</w:t>
      </w:r>
      <w:proofErr w:type="spellEnd"/>
      <w:r w:rsidRPr="007B3BD9">
        <w:rPr>
          <w:rFonts w:ascii="Times New Roman" w:hAnsi="Times New Roman" w:cs="Times New Roman"/>
          <w:sz w:val="24"/>
          <w:szCs w:val="24"/>
        </w:rPr>
        <w:t xml:space="preserve"> for Pesticides) développé par TREVISAN et </w:t>
      </w:r>
      <w:r w:rsidRPr="007B3BD9">
        <w:rPr>
          <w:rFonts w:ascii="Times New Roman" w:hAnsi="Times New Roman" w:cs="Times New Roman"/>
          <w:i/>
          <w:iCs/>
          <w:sz w:val="24"/>
          <w:szCs w:val="24"/>
        </w:rPr>
        <w:t>al.</w:t>
      </w:r>
      <w:r w:rsidRPr="007B3BD9">
        <w:rPr>
          <w:rFonts w:ascii="Times New Roman" w:hAnsi="Times New Roman" w:cs="Times New Roman"/>
          <w:sz w:val="24"/>
          <w:szCs w:val="24"/>
        </w:rPr>
        <w:t xml:space="preserve"> (2009). Il</w:t>
      </w:r>
      <w:r w:rsidRPr="007B3BD9">
        <w:rPr>
          <w:rFonts w:ascii="Times New Roman" w:hAnsi="Times New Roman" w:cs="Times New Roman"/>
          <w:sz w:val="24"/>
          <w:szCs w:val="24"/>
          <w:lang w:val="fr-BE"/>
        </w:rPr>
        <w:t xml:space="preserve"> </w:t>
      </w:r>
      <w:r w:rsidRPr="007B3BD9">
        <w:rPr>
          <w:rFonts w:ascii="Times New Roman" w:hAnsi="Times New Roman" w:cs="Times New Roman"/>
          <w:sz w:val="24"/>
          <w:szCs w:val="24"/>
        </w:rPr>
        <w:t xml:space="preserve">prend en compte le devenir des substances dans plusieurs compartiments (air, sol, eaux souterraines, eaux superficielles). Il est basé sur le calcul d’un ratio de concentrations </w:t>
      </w:r>
      <w:r w:rsidR="00706064" w:rsidRPr="007B3BD9">
        <w:rPr>
          <w:rFonts w:ascii="Times New Roman" w:hAnsi="Times New Roman" w:cs="Times New Roman"/>
          <w:sz w:val="24"/>
          <w:szCs w:val="24"/>
        </w:rPr>
        <w:t>environnementales prédites (</w:t>
      </w:r>
      <w:proofErr w:type="gramStart"/>
      <w:r w:rsidR="00706064" w:rsidRPr="007B3BD9">
        <w:rPr>
          <w:rFonts w:ascii="Times New Roman" w:hAnsi="Times New Roman" w:cs="Times New Roman"/>
          <w:sz w:val="24"/>
          <w:szCs w:val="24"/>
        </w:rPr>
        <w:t>PEC</w:t>
      </w:r>
      <w:r w:rsidRPr="007B3BD9">
        <w:rPr>
          <w:rFonts w:ascii="Times New Roman" w:hAnsi="Times New Roman" w:cs="Times New Roman"/>
          <w:sz w:val="24"/>
          <w:szCs w:val="24"/>
        </w:rPr>
        <w:t>:</w:t>
      </w:r>
      <w:proofErr w:type="gramEnd"/>
      <w:r w:rsidRPr="007B3BD9">
        <w:rPr>
          <w:rFonts w:ascii="Times New Roman" w:hAnsi="Times New Roman" w:cs="Times New Roman"/>
          <w:sz w:val="24"/>
          <w:szCs w:val="24"/>
        </w:rPr>
        <w:t xml:space="preserve"> </w:t>
      </w:r>
      <w:proofErr w:type="spellStart"/>
      <w:r w:rsidRPr="007B3BD9">
        <w:rPr>
          <w:rFonts w:ascii="Times New Roman" w:hAnsi="Times New Roman" w:cs="Times New Roman"/>
          <w:sz w:val="24"/>
          <w:szCs w:val="24"/>
        </w:rPr>
        <w:t>Predicted</w:t>
      </w:r>
      <w:proofErr w:type="spellEnd"/>
      <w:r w:rsidRPr="007B3BD9">
        <w:rPr>
          <w:rFonts w:ascii="Times New Roman" w:hAnsi="Times New Roman" w:cs="Times New Roman"/>
          <w:sz w:val="24"/>
          <w:szCs w:val="24"/>
        </w:rPr>
        <w:t xml:space="preserve"> </w:t>
      </w:r>
      <w:proofErr w:type="spellStart"/>
      <w:r w:rsidRPr="007B3BD9">
        <w:rPr>
          <w:rFonts w:ascii="Times New Roman" w:hAnsi="Times New Roman" w:cs="Times New Roman"/>
          <w:sz w:val="24"/>
          <w:szCs w:val="24"/>
        </w:rPr>
        <w:t>environmental</w:t>
      </w:r>
      <w:proofErr w:type="spellEnd"/>
      <w:r w:rsidRPr="007B3BD9">
        <w:rPr>
          <w:rFonts w:ascii="Times New Roman" w:hAnsi="Times New Roman" w:cs="Times New Roman"/>
          <w:sz w:val="24"/>
          <w:szCs w:val="24"/>
        </w:rPr>
        <w:t xml:space="preserve"> concentration) pour chaque compartiment.</w:t>
      </w:r>
    </w:p>
    <w:p w14:paraId="1323C4FE" w14:textId="1B3D779C" w:rsidR="00285870" w:rsidRPr="007B3BD9" w:rsidRDefault="00285870" w:rsidP="00EB7D2E">
      <w:pPr>
        <w:autoSpaceDE w:val="0"/>
        <w:autoSpaceDN w:val="0"/>
        <w:adjustRightInd w:val="0"/>
        <w:spacing w:line="240" w:lineRule="auto"/>
        <w:rPr>
          <w:rFonts w:ascii="Times New Roman" w:hAnsi="Times New Roman" w:cs="Times New Roman"/>
          <w:sz w:val="24"/>
          <w:szCs w:val="24"/>
        </w:rPr>
      </w:pPr>
      <w:r w:rsidRPr="007B3BD9">
        <w:rPr>
          <w:rFonts w:ascii="Times New Roman" w:hAnsi="Times New Roman" w:cs="Times New Roman"/>
          <w:sz w:val="24"/>
          <w:szCs w:val="24"/>
        </w:rPr>
        <w:t xml:space="preserve">Les valeurs de ratio d’exposition à la toxicité (ETR : </w:t>
      </w:r>
      <w:proofErr w:type="spellStart"/>
      <w:r w:rsidRPr="007B3BD9">
        <w:rPr>
          <w:rFonts w:ascii="Times New Roman" w:hAnsi="Times New Roman" w:cs="Times New Roman"/>
          <w:sz w:val="24"/>
          <w:szCs w:val="24"/>
        </w:rPr>
        <w:t>Exposure</w:t>
      </w:r>
      <w:proofErr w:type="spellEnd"/>
      <w:r w:rsidRPr="007B3BD9">
        <w:rPr>
          <w:rFonts w:ascii="Times New Roman" w:hAnsi="Times New Roman" w:cs="Times New Roman"/>
          <w:sz w:val="24"/>
          <w:szCs w:val="24"/>
        </w:rPr>
        <w:t xml:space="preserve"> </w:t>
      </w:r>
      <w:proofErr w:type="spellStart"/>
      <w:r w:rsidRPr="007B3BD9">
        <w:rPr>
          <w:rFonts w:ascii="Times New Roman" w:hAnsi="Times New Roman" w:cs="Times New Roman"/>
          <w:sz w:val="24"/>
          <w:szCs w:val="24"/>
        </w:rPr>
        <w:t>toxicity</w:t>
      </w:r>
      <w:proofErr w:type="spellEnd"/>
      <w:r w:rsidRPr="007B3BD9">
        <w:rPr>
          <w:rFonts w:ascii="Times New Roman" w:hAnsi="Times New Roman" w:cs="Times New Roman"/>
          <w:sz w:val="24"/>
          <w:szCs w:val="24"/>
        </w:rPr>
        <w:t xml:space="preserve"> ratio) sont calculées selon la formule </w:t>
      </w:r>
      <w:r w:rsidR="004128DE">
        <w:rPr>
          <w:rFonts w:ascii="Times New Roman" w:hAnsi="Times New Roman" w:cs="Times New Roman"/>
          <w:sz w:val="24"/>
          <w:szCs w:val="24"/>
        </w:rPr>
        <w:t>2</w:t>
      </w:r>
      <w:r w:rsidR="004128DE" w:rsidRPr="007B3BD9">
        <w:rPr>
          <w:rFonts w:ascii="Times New Roman" w:hAnsi="Times New Roman" w:cs="Times New Roman"/>
          <w:sz w:val="24"/>
          <w:szCs w:val="24"/>
        </w:rPr>
        <w:t> </w:t>
      </w:r>
      <w:r w:rsidRPr="007B3BD9">
        <w:rPr>
          <w:rFonts w:ascii="Times New Roman" w:hAnsi="Times New Roman" w:cs="Times New Roman"/>
          <w:sz w:val="24"/>
          <w:szCs w:val="24"/>
        </w:rPr>
        <w:t>:</w:t>
      </w:r>
    </w:p>
    <w:p w14:paraId="5E48F07B" w14:textId="681DCF9C" w:rsidR="00285870" w:rsidRPr="007B3BD9" w:rsidRDefault="00285870" w:rsidP="00EB7D2E">
      <w:pPr>
        <w:autoSpaceDE w:val="0"/>
        <w:autoSpaceDN w:val="0"/>
        <w:adjustRightInd w:val="0"/>
        <w:spacing w:line="240" w:lineRule="auto"/>
        <w:rPr>
          <w:rFonts w:ascii="Times New Roman" w:hAnsi="Times New Roman" w:cs="Times New Roman"/>
          <w:sz w:val="24"/>
          <w:szCs w:val="24"/>
        </w:rPr>
      </w:pPr>
      <m:oMath>
        <m:r>
          <w:rPr>
            <w:rFonts w:ascii="Cambria Math" w:hAnsi="Cambria Math" w:cs="Times New Roman"/>
            <w:sz w:val="24"/>
            <w:szCs w:val="24"/>
          </w:rPr>
          <m:t>ETR=</m:t>
        </m:r>
        <m:f>
          <m:fPr>
            <m:type m:val="skw"/>
            <m:ctrlPr>
              <w:rPr>
                <w:rFonts w:ascii="Cambria Math" w:hAnsi="Cambria Math" w:cs="Times New Roman"/>
                <w:i/>
                <w:sz w:val="24"/>
                <w:szCs w:val="24"/>
              </w:rPr>
            </m:ctrlPr>
          </m:fPr>
          <m:num>
            <m:r>
              <w:rPr>
                <w:rFonts w:ascii="Cambria Math" w:hAnsi="Cambria Math" w:cs="Times New Roman"/>
                <w:sz w:val="24"/>
                <w:szCs w:val="24"/>
              </w:rPr>
              <m:t>PEC</m:t>
            </m:r>
          </m:num>
          <m:den>
            <m:r>
              <w:rPr>
                <w:rFonts w:ascii="Cambria Math" w:hAnsi="Cambria Math" w:cs="Times New Roman"/>
                <w:sz w:val="24"/>
                <w:szCs w:val="24"/>
              </w:rPr>
              <m:t>toxicité</m:t>
            </m:r>
          </m:den>
        </m:f>
      </m:oMath>
      <w:r w:rsidRPr="007B3BD9">
        <w:rPr>
          <w:rFonts w:ascii="Times New Roman" w:eastAsiaTheme="minorEastAsia" w:hAnsi="Times New Roman" w:cs="Times New Roman"/>
          <w:sz w:val="24"/>
          <w:szCs w:val="24"/>
        </w:rPr>
        <w:t xml:space="preserve">                                                                </w:t>
      </w:r>
      <w:r w:rsidRPr="007B3BD9">
        <w:rPr>
          <w:rFonts w:ascii="Times New Roman" w:eastAsiaTheme="minorEastAsia" w:hAnsi="Times New Roman" w:cs="Times New Roman"/>
          <w:i/>
          <w:sz w:val="24"/>
          <w:szCs w:val="24"/>
        </w:rPr>
        <w:t>(</w:t>
      </w:r>
      <w:r w:rsidR="004128DE">
        <w:rPr>
          <w:rFonts w:ascii="Times New Roman" w:eastAsiaTheme="minorEastAsia" w:hAnsi="Times New Roman" w:cs="Times New Roman"/>
          <w:i/>
          <w:sz w:val="24"/>
          <w:szCs w:val="24"/>
        </w:rPr>
        <w:t>2</w:t>
      </w:r>
      <w:r w:rsidRPr="007B3BD9">
        <w:rPr>
          <w:rFonts w:ascii="Times New Roman" w:eastAsiaTheme="minorEastAsia" w:hAnsi="Times New Roman" w:cs="Times New Roman"/>
          <w:i/>
          <w:sz w:val="24"/>
          <w:szCs w:val="24"/>
        </w:rPr>
        <w:t>)</w:t>
      </w:r>
    </w:p>
    <w:p w14:paraId="2F3E7EF8" w14:textId="08BA62EC" w:rsidR="00285870" w:rsidRPr="007B3BD9" w:rsidRDefault="00285870" w:rsidP="00EB7D2E">
      <w:pPr>
        <w:pStyle w:val="PrformatHTML"/>
        <w:jc w:val="both"/>
        <w:rPr>
          <w:rFonts w:ascii="Times New Roman" w:hAnsi="Times New Roman" w:cs="Times New Roman"/>
          <w:sz w:val="24"/>
          <w:szCs w:val="24"/>
        </w:rPr>
      </w:pPr>
      <w:r w:rsidRPr="007B3BD9">
        <w:rPr>
          <w:rFonts w:ascii="Times New Roman" w:hAnsi="Times New Roman" w:cs="Times New Roman"/>
          <w:sz w:val="24"/>
          <w:szCs w:val="24"/>
        </w:rPr>
        <w:t xml:space="preserve">Les « PEC » sont déterminés pour chaque compartiment par des modèles qui prennent en compte des données sur les conditions environnementales et les facteurs d’application. La toxicité du pesticide pour les organismes non-cibles sélectionnés est évaluée en utilisant des données éco- toxicologiques et toxicologiques dérivés de bases de données : Vers de terre pour le sol ; algues, crustacés et poissons pour l’eau de surface ; mammifères, oiseaux et insectes pour l’air. Les valeurs ETR ainsi obtenues sont traduites en point de risque (RP : </w:t>
      </w:r>
      <w:proofErr w:type="spellStart"/>
      <w:r w:rsidRPr="007B3BD9">
        <w:rPr>
          <w:rFonts w:ascii="Times New Roman" w:hAnsi="Times New Roman" w:cs="Times New Roman"/>
          <w:sz w:val="24"/>
          <w:szCs w:val="24"/>
        </w:rPr>
        <w:t>Risk</w:t>
      </w:r>
      <w:proofErr w:type="spellEnd"/>
      <w:r w:rsidRPr="007B3BD9">
        <w:rPr>
          <w:rFonts w:ascii="Times New Roman" w:hAnsi="Times New Roman" w:cs="Times New Roman"/>
          <w:sz w:val="24"/>
          <w:szCs w:val="24"/>
        </w:rPr>
        <w:t xml:space="preserve"> point) sur une échelle de 1 à 5. Le score final de l’indicateur EPRIP est calculé en multipliant les RP de chaque compartiment entre eux selon la méthode définie par TREVISAN </w:t>
      </w:r>
      <w:r w:rsidRPr="007B3BD9">
        <w:rPr>
          <w:rFonts w:ascii="Times New Roman" w:hAnsi="Times New Roman" w:cs="Times New Roman"/>
          <w:i/>
          <w:sz w:val="24"/>
          <w:szCs w:val="24"/>
        </w:rPr>
        <w:t>et al.</w:t>
      </w:r>
      <w:r w:rsidRPr="007B3BD9">
        <w:rPr>
          <w:rFonts w:ascii="Times New Roman" w:hAnsi="Times New Roman" w:cs="Times New Roman"/>
          <w:sz w:val="24"/>
          <w:szCs w:val="24"/>
        </w:rPr>
        <w:t xml:space="preserve"> (2009) :</w:t>
      </w:r>
    </w:p>
    <w:p w14:paraId="0B99B33C" w14:textId="77777777" w:rsidR="00285870" w:rsidRPr="007B3BD9" w:rsidRDefault="00285870" w:rsidP="00CD5AEC">
      <w:pPr>
        <w:spacing w:after="120" w:line="240" w:lineRule="auto"/>
        <w:rPr>
          <w:rFonts w:ascii="Times New Roman" w:hAnsi="Times New Roman" w:cs="Times New Roman"/>
          <w:sz w:val="24"/>
          <w:szCs w:val="24"/>
        </w:rPr>
      </w:pPr>
      <w:r w:rsidRPr="007B3BD9">
        <w:rPr>
          <w:rFonts w:ascii="Times New Roman" w:hAnsi="Times New Roman" w:cs="Times New Roman"/>
          <w:sz w:val="24"/>
          <w:szCs w:val="24"/>
        </w:rPr>
        <w:t>Pour ces différents calculs, le logiciel EPRIP 2.2 a été utilisé.</w:t>
      </w:r>
    </w:p>
    <w:p w14:paraId="227DAEAF" w14:textId="028284EE" w:rsidR="00285870" w:rsidRPr="007B3BD9" w:rsidRDefault="00285870" w:rsidP="00EB7D2E">
      <w:pPr>
        <w:autoSpaceDE w:val="0"/>
        <w:autoSpaceDN w:val="0"/>
        <w:adjustRightInd w:val="0"/>
        <w:spacing w:line="240" w:lineRule="auto"/>
        <w:rPr>
          <w:rFonts w:ascii="Times New Roman" w:hAnsi="Times New Roman" w:cs="Times New Roman"/>
          <w:sz w:val="24"/>
          <w:szCs w:val="24"/>
        </w:rPr>
      </w:pPr>
      <w:r w:rsidRPr="007B3BD9">
        <w:rPr>
          <w:rFonts w:ascii="Times New Roman" w:hAnsi="Times New Roman" w:cs="Times New Roman"/>
          <w:sz w:val="24"/>
          <w:szCs w:val="24"/>
        </w:rPr>
        <w:t xml:space="preserve">Le choix de l’indicateur EPRIP tient au fait qu’il peut intégrer à la fois les paramètres les plus importants à savoir les propriétés des substances, les sols et les climats, la dose d’application et la dérive de pulvérisation. En plus, le score EPRIP varie de 1 à 825 et est divisé en différentes classes de risque environnemental potentiel sur la base d'un jugement d'expert (PADOVANI, 2004). Enfin, FEOLA </w:t>
      </w:r>
      <w:r w:rsidRPr="007B3BD9">
        <w:rPr>
          <w:rFonts w:ascii="Times New Roman" w:hAnsi="Times New Roman" w:cs="Times New Roman"/>
          <w:i/>
          <w:sz w:val="24"/>
          <w:szCs w:val="24"/>
        </w:rPr>
        <w:t>et al.</w:t>
      </w:r>
      <w:r w:rsidR="00B756EE" w:rsidRPr="007B3BD9">
        <w:rPr>
          <w:rFonts w:ascii="Times New Roman" w:hAnsi="Times New Roman" w:cs="Times New Roman"/>
          <w:sz w:val="24"/>
          <w:szCs w:val="24"/>
        </w:rPr>
        <w:t xml:space="preserve"> (2011</w:t>
      </w:r>
      <w:r w:rsidRPr="007B3BD9">
        <w:rPr>
          <w:rFonts w:ascii="Times New Roman" w:hAnsi="Times New Roman" w:cs="Times New Roman"/>
          <w:sz w:val="24"/>
          <w:szCs w:val="24"/>
        </w:rPr>
        <w:t>) rassurent sur le fait que l’indicateur EPRIP est le mieux adapté au contexte des pays en développement limités par la disponibilité des données.</w:t>
      </w:r>
    </w:p>
    <w:p w14:paraId="64CD8297" w14:textId="77777777" w:rsidR="00285870" w:rsidRPr="00B37902" w:rsidRDefault="00285870" w:rsidP="00EB7D2E">
      <w:pPr>
        <w:spacing w:line="240" w:lineRule="auto"/>
        <w:rPr>
          <w:rFonts w:ascii="Times New Roman" w:hAnsi="Times New Roman" w:cs="Times New Roman"/>
          <w:sz w:val="24"/>
          <w:szCs w:val="24"/>
        </w:rPr>
      </w:pPr>
    </w:p>
    <w:p w14:paraId="07D81223" w14:textId="4C8AAEE7" w:rsidR="000B2D26" w:rsidRPr="00CD5AEC" w:rsidRDefault="000B2D26" w:rsidP="00CD5AEC">
      <w:pPr>
        <w:pStyle w:val="Paragraphedeliste"/>
        <w:numPr>
          <w:ilvl w:val="0"/>
          <w:numId w:val="4"/>
        </w:numPr>
        <w:spacing w:after="120" w:line="240" w:lineRule="auto"/>
        <w:ind w:left="284" w:hanging="284"/>
        <w:contextualSpacing w:val="0"/>
        <w:rPr>
          <w:rFonts w:ascii="Times New Roman" w:hAnsi="Times New Roman" w:cs="Times New Roman"/>
          <w:b/>
          <w:sz w:val="28"/>
          <w:szCs w:val="28"/>
        </w:rPr>
      </w:pPr>
      <w:r w:rsidRPr="00CD5AEC">
        <w:rPr>
          <w:rFonts w:ascii="Times New Roman" w:hAnsi="Times New Roman" w:cs="Times New Roman"/>
          <w:b/>
          <w:sz w:val="28"/>
          <w:szCs w:val="28"/>
        </w:rPr>
        <w:t>Résultats</w:t>
      </w:r>
    </w:p>
    <w:p w14:paraId="75AF6C20" w14:textId="2571A8F5" w:rsidR="0070047B" w:rsidRDefault="00EB7D2E" w:rsidP="00CD5AEC">
      <w:pPr>
        <w:spacing w:after="120" w:line="240" w:lineRule="auto"/>
        <w:rPr>
          <w:rFonts w:ascii="Times New Roman" w:hAnsi="Times New Roman" w:cs="Times New Roman"/>
          <w:b/>
          <w:sz w:val="24"/>
          <w:szCs w:val="24"/>
        </w:rPr>
      </w:pPr>
      <w:r>
        <w:rPr>
          <w:rFonts w:ascii="Times New Roman" w:hAnsi="Times New Roman" w:cs="Times New Roman"/>
          <w:b/>
          <w:sz w:val="24"/>
          <w:szCs w:val="24"/>
        </w:rPr>
        <w:t>2</w:t>
      </w:r>
      <w:r w:rsidR="00FD41E5">
        <w:rPr>
          <w:rFonts w:ascii="Times New Roman" w:hAnsi="Times New Roman" w:cs="Times New Roman"/>
          <w:b/>
          <w:sz w:val="24"/>
          <w:szCs w:val="24"/>
        </w:rPr>
        <w:t xml:space="preserve">.1 </w:t>
      </w:r>
      <w:r w:rsidR="00FD3A0E" w:rsidRPr="00FD3A0E">
        <w:rPr>
          <w:rFonts w:ascii="Times New Roman" w:hAnsi="Times New Roman" w:cs="Times New Roman"/>
          <w:b/>
          <w:sz w:val="24"/>
          <w:szCs w:val="24"/>
        </w:rPr>
        <w:t>Caractéristiques générales des exploitations</w:t>
      </w:r>
    </w:p>
    <w:p w14:paraId="6C64DA22" w14:textId="5AFB8792" w:rsidR="008048AD" w:rsidRDefault="009349B2" w:rsidP="00CD5AEC">
      <w:pPr>
        <w:spacing w:after="120" w:line="240" w:lineRule="auto"/>
        <w:rPr>
          <w:rFonts w:ascii="Times New Roman" w:hAnsi="Times New Roman" w:cs="Times New Roman"/>
          <w:sz w:val="24"/>
          <w:szCs w:val="24"/>
        </w:rPr>
      </w:pPr>
      <w:r>
        <w:rPr>
          <w:rFonts w:ascii="Times New Roman" w:hAnsi="Times New Roman" w:cs="Times New Roman"/>
          <w:sz w:val="24"/>
          <w:szCs w:val="24"/>
        </w:rPr>
        <w:t>Le</w:t>
      </w:r>
      <w:r w:rsidR="008048AD">
        <w:rPr>
          <w:rFonts w:ascii="Times New Roman" w:hAnsi="Times New Roman" w:cs="Times New Roman"/>
          <w:sz w:val="24"/>
          <w:szCs w:val="24"/>
        </w:rPr>
        <w:t xml:space="preserve"> site </w:t>
      </w:r>
      <w:r w:rsidR="008048AD" w:rsidRPr="007B3BD9">
        <w:rPr>
          <w:rFonts w:ascii="Times New Roman" w:hAnsi="Times New Roman" w:cs="Times New Roman"/>
          <w:sz w:val="24"/>
          <w:szCs w:val="24"/>
        </w:rPr>
        <w:t xml:space="preserve">de </w:t>
      </w:r>
      <w:proofErr w:type="spellStart"/>
      <w:r w:rsidR="008048AD" w:rsidRPr="007B3BD9">
        <w:rPr>
          <w:rFonts w:ascii="Times New Roman" w:hAnsi="Times New Roman" w:cs="Times New Roman"/>
          <w:sz w:val="24"/>
          <w:szCs w:val="24"/>
        </w:rPr>
        <w:t>Sakabi-Dogona</w:t>
      </w:r>
      <w:proofErr w:type="spellEnd"/>
      <w:r>
        <w:rPr>
          <w:rFonts w:ascii="Times New Roman" w:hAnsi="Times New Roman" w:cs="Times New Roman"/>
          <w:sz w:val="24"/>
          <w:szCs w:val="24"/>
        </w:rPr>
        <w:t xml:space="preserve"> est caractérisé par des parcelles de petites superficies</w:t>
      </w:r>
      <w:r w:rsidR="008048AD">
        <w:rPr>
          <w:rFonts w:ascii="Times New Roman" w:hAnsi="Times New Roman" w:cs="Times New Roman"/>
          <w:sz w:val="24"/>
          <w:szCs w:val="24"/>
        </w:rPr>
        <w:t xml:space="preserve"> </w:t>
      </w:r>
      <w:r w:rsidR="00300271">
        <w:rPr>
          <w:rFonts w:ascii="Times New Roman" w:hAnsi="Times New Roman" w:cs="Times New Roman"/>
          <w:sz w:val="24"/>
          <w:szCs w:val="24"/>
        </w:rPr>
        <w:t xml:space="preserve">ayant en </w:t>
      </w:r>
      <w:r w:rsidR="008048AD">
        <w:rPr>
          <w:rFonts w:ascii="Times New Roman" w:hAnsi="Times New Roman" w:cs="Times New Roman"/>
          <w:sz w:val="24"/>
          <w:szCs w:val="24"/>
        </w:rPr>
        <w:t>moyennes 3</w:t>
      </w:r>
      <w:r w:rsidR="001F660A">
        <w:rPr>
          <w:rFonts w:ascii="Times New Roman" w:hAnsi="Times New Roman" w:cs="Times New Roman"/>
          <w:sz w:val="24"/>
          <w:szCs w:val="24"/>
        </w:rPr>
        <w:t>061,5</w:t>
      </w:r>
      <w:r w:rsidR="008048AD">
        <w:rPr>
          <w:rFonts w:ascii="Times New Roman" w:hAnsi="Times New Roman" w:cs="Times New Roman"/>
          <w:sz w:val="24"/>
          <w:szCs w:val="24"/>
        </w:rPr>
        <w:t xml:space="preserve"> m</w:t>
      </w:r>
      <w:r w:rsidR="008048AD" w:rsidRPr="009349B2">
        <w:rPr>
          <w:rFonts w:ascii="Times New Roman" w:hAnsi="Times New Roman" w:cs="Times New Roman"/>
          <w:sz w:val="24"/>
          <w:szCs w:val="24"/>
          <w:vertAlign w:val="superscript"/>
        </w:rPr>
        <w:t>2</w:t>
      </w:r>
      <w:r w:rsidR="008048AD">
        <w:rPr>
          <w:rFonts w:ascii="Times New Roman" w:hAnsi="Times New Roman" w:cs="Times New Roman"/>
          <w:sz w:val="24"/>
          <w:szCs w:val="24"/>
        </w:rPr>
        <w:t xml:space="preserve"> avec</w:t>
      </w:r>
      <w:r w:rsidR="00BB66AC">
        <w:rPr>
          <w:rFonts w:ascii="Times New Roman" w:hAnsi="Times New Roman" w:cs="Times New Roman"/>
          <w:sz w:val="24"/>
          <w:szCs w:val="24"/>
        </w:rPr>
        <w:t xml:space="preserve"> </w:t>
      </w:r>
      <w:r w:rsidR="001F660A">
        <w:rPr>
          <w:rFonts w:ascii="Times New Roman" w:hAnsi="Times New Roman" w:cs="Times New Roman"/>
          <w:sz w:val="24"/>
          <w:szCs w:val="24"/>
        </w:rPr>
        <w:t>une médiane de 1148</w:t>
      </w:r>
      <w:r w:rsidR="008048AD">
        <w:rPr>
          <w:rFonts w:ascii="Times New Roman" w:hAnsi="Times New Roman" w:cs="Times New Roman"/>
          <w:sz w:val="24"/>
          <w:szCs w:val="24"/>
        </w:rPr>
        <w:t xml:space="preserve"> m</w:t>
      </w:r>
      <w:r w:rsidR="008048AD" w:rsidRPr="009349B2">
        <w:rPr>
          <w:rFonts w:ascii="Times New Roman" w:hAnsi="Times New Roman" w:cs="Times New Roman"/>
          <w:sz w:val="24"/>
          <w:szCs w:val="24"/>
          <w:vertAlign w:val="superscript"/>
        </w:rPr>
        <w:t>2</w:t>
      </w:r>
      <w:r w:rsidR="008048AD">
        <w:rPr>
          <w:rFonts w:ascii="Times New Roman" w:hAnsi="Times New Roman" w:cs="Times New Roman"/>
          <w:sz w:val="24"/>
          <w:szCs w:val="24"/>
        </w:rPr>
        <w:t xml:space="preserve"> situées sur des pentes qui varient entre 0</w:t>
      </w:r>
      <w:r w:rsidR="00F3575C">
        <w:rPr>
          <w:rFonts w:ascii="Times New Roman" w:hAnsi="Times New Roman" w:cs="Times New Roman"/>
          <w:sz w:val="24"/>
          <w:szCs w:val="24"/>
        </w:rPr>
        <w:t>,</w:t>
      </w:r>
      <w:r w:rsidR="008048AD">
        <w:rPr>
          <w:rFonts w:ascii="Times New Roman" w:hAnsi="Times New Roman" w:cs="Times New Roman"/>
          <w:sz w:val="24"/>
          <w:szCs w:val="24"/>
        </w:rPr>
        <w:t>10 et 2</w:t>
      </w:r>
      <w:r w:rsidR="00F3575C">
        <w:rPr>
          <w:rFonts w:ascii="Times New Roman" w:hAnsi="Times New Roman" w:cs="Times New Roman"/>
          <w:sz w:val="24"/>
          <w:szCs w:val="24"/>
        </w:rPr>
        <w:t>,</w:t>
      </w:r>
      <w:r w:rsidR="008048AD">
        <w:rPr>
          <w:rFonts w:ascii="Times New Roman" w:hAnsi="Times New Roman" w:cs="Times New Roman"/>
          <w:sz w:val="24"/>
          <w:szCs w:val="24"/>
        </w:rPr>
        <w:t>20 % et dont la médiane se situe à 1%</w:t>
      </w:r>
      <w:r w:rsidR="00CC28E7">
        <w:rPr>
          <w:rFonts w:ascii="Times New Roman" w:hAnsi="Times New Roman" w:cs="Times New Roman"/>
          <w:sz w:val="24"/>
          <w:szCs w:val="24"/>
        </w:rPr>
        <w:t>. En aval du périmètre, se trouve une rivière située en moyenne à 10</w:t>
      </w:r>
      <w:r w:rsidR="00694A17">
        <w:rPr>
          <w:rFonts w:ascii="Times New Roman" w:hAnsi="Times New Roman" w:cs="Times New Roman"/>
          <w:sz w:val="24"/>
          <w:szCs w:val="24"/>
        </w:rPr>
        <w:t>0</w:t>
      </w:r>
      <w:r w:rsidR="00CC28E7">
        <w:rPr>
          <w:rFonts w:ascii="Times New Roman" w:hAnsi="Times New Roman" w:cs="Times New Roman"/>
          <w:sz w:val="24"/>
          <w:szCs w:val="24"/>
        </w:rPr>
        <w:t xml:space="preserve"> m des exploitations. Les parcelles les plus proches sont à </w:t>
      </w:r>
      <w:r w:rsidR="00CC28E7" w:rsidRPr="00694A17">
        <w:rPr>
          <w:rFonts w:ascii="Times New Roman" w:hAnsi="Times New Roman" w:cs="Times New Roman"/>
          <w:sz w:val="24"/>
          <w:szCs w:val="24"/>
        </w:rPr>
        <w:t>15</w:t>
      </w:r>
      <w:r w:rsidR="00CC28E7">
        <w:rPr>
          <w:rFonts w:ascii="Times New Roman" w:hAnsi="Times New Roman" w:cs="Times New Roman"/>
          <w:sz w:val="24"/>
          <w:szCs w:val="24"/>
        </w:rPr>
        <w:t xml:space="preserve"> m</w:t>
      </w:r>
      <w:r w:rsidR="00270455">
        <w:rPr>
          <w:rFonts w:ascii="Times New Roman" w:hAnsi="Times New Roman" w:cs="Times New Roman"/>
          <w:sz w:val="24"/>
          <w:szCs w:val="24"/>
        </w:rPr>
        <w:t xml:space="preserve"> de la </w:t>
      </w:r>
      <w:r w:rsidR="00145599">
        <w:rPr>
          <w:rFonts w:ascii="Times New Roman" w:hAnsi="Times New Roman" w:cs="Times New Roman"/>
          <w:sz w:val="24"/>
          <w:szCs w:val="24"/>
        </w:rPr>
        <w:t>riv</w:t>
      </w:r>
      <w:r w:rsidR="00270455">
        <w:rPr>
          <w:rFonts w:ascii="Times New Roman" w:hAnsi="Times New Roman" w:cs="Times New Roman"/>
          <w:sz w:val="24"/>
          <w:szCs w:val="24"/>
        </w:rPr>
        <w:t>ière</w:t>
      </w:r>
      <w:r w:rsidR="00CC28E7">
        <w:rPr>
          <w:rFonts w:ascii="Times New Roman" w:hAnsi="Times New Roman" w:cs="Times New Roman"/>
          <w:sz w:val="24"/>
          <w:szCs w:val="24"/>
        </w:rPr>
        <w:t xml:space="preserve"> et les plus éloignées à </w:t>
      </w:r>
      <w:r w:rsidR="00CC28E7" w:rsidRPr="00694A17">
        <w:rPr>
          <w:rFonts w:ascii="Times New Roman" w:hAnsi="Times New Roman" w:cs="Times New Roman"/>
          <w:sz w:val="24"/>
          <w:szCs w:val="24"/>
        </w:rPr>
        <w:t>389</w:t>
      </w:r>
      <w:r w:rsidR="00CC28E7">
        <w:rPr>
          <w:rFonts w:ascii="Times New Roman" w:hAnsi="Times New Roman" w:cs="Times New Roman"/>
          <w:sz w:val="24"/>
          <w:szCs w:val="24"/>
        </w:rPr>
        <w:t xml:space="preserve"> m. Les sols sont majoritairement sableux avec des </w:t>
      </w:r>
      <w:r w:rsidR="00270455">
        <w:rPr>
          <w:rFonts w:ascii="Times New Roman" w:hAnsi="Times New Roman" w:cs="Times New Roman"/>
          <w:sz w:val="24"/>
          <w:szCs w:val="24"/>
        </w:rPr>
        <w:t xml:space="preserve">teneurs moyennes </w:t>
      </w:r>
      <w:r w:rsidR="00CC28E7">
        <w:rPr>
          <w:rFonts w:ascii="Times New Roman" w:hAnsi="Times New Roman" w:cs="Times New Roman"/>
          <w:sz w:val="24"/>
          <w:szCs w:val="24"/>
        </w:rPr>
        <w:t xml:space="preserve">en sables de 63,44%. La teneur en matière organique </w:t>
      </w:r>
      <w:r w:rsidR="00300271">
        <w:rPr>
          <w:rFonts w:ascii="Times New Roman" w:hAnsi="Times New Roman" w:cs="Times New Roman"/>
          <w:sz w:val="24"/>
          <w:szCs w:val="24"/>
        </w:rPr>
        <w:t>varie</w:t>
      </w:r>
      <w:r w:rsidR="007E4D51">
        <w:rPr>
          <w:rFonts w:ascii="Times New Roman" w:hAnsi="Times New Roman" w:cs="Times New Roman"/>
          <w:sz w:val="24"/>
          <w:szCs w:val="24"/>
        </w:rPr>
        <w:t xml:space="preserve"> entre 0,43 et 3,21% avec une moyenne de 1,</w:t>
      </w:r>
      <w:r w:rsidR="00CC28E7">
        <w:rPr>
          <w:rFonts w:ascii="Times New Roman" w:hAnsi="Times New Roman" w:cs="Times New Roman"/>
          <w:sz w:val="24"/>
          <w:szCs w:val="24"/>
        </w:rPr>
        <w:t>67%</w:t>
      </w:r>
      <w:r w:rsidR="00E01344">
        <w:rPr>
          <w:rFonts w:ascii="Times New Roman" w:hAnsi="Times New Roman" w:cs="Times New Roman"/>
          <w:sz w:val="24"/>
          <w:szCs w:val="24"/>
        </w:rPr>
        <w:t xml:space="preserve"> (tableau I</w:t>
      </w:r>
      <w:r w:rsidR="00300271">
        <w:rPr>
          <w:rFonts w:ascii="Times New Roman" w:hAnsi="Times New Roman" w:cs="Times New Roman"/>
          <w:sz w:val="24"/>
          <w:szCs w:val="24"/>
        </w:rPr>
        <w:t>)</w:t>
      </w:r>
      <w:r w:rsidR="00CC28E7">
        <w:rPr>
          <w:rFonts w:ascii="Times New Roman" w:hAnsi="Times New Roman" w:cs="Times New Roman"/>
          <w:sz w:val="24"/>
          <w:szCs w:val="24"/>
        </w:rPr>
        <w:t xml:space="preserve">. </w:t>
      </w:r>
    </w:p>
    <w:p w14:paraId="7E8CCA98" w14:textId="6D7692D9" w:rsidR="002B2B43" w:rsidRDefault="002B2B43" w:rsidP="00CD5AEC">
      <w:pPr>
        <w:spacing w:after="120" w:line="240" w:lineRule="auto"/>
        <w:rPr>
          <w:rFonts w:ascii="Times New Roman" w:hAnsi="Times New Roman" w:cs="Times New Roman"/>
          <w:sz w:val="24"/>
          <w:szCs w:val="24"/>
        </w:rPr>
      </w:pPr>
    </w:p>
    <w:p w14:paraId="38DC4132" w14:textId="77777777" w:rsidR="002B2B43" w:rsidRPr="003F65BB" w:rsidRDefault="002B2B43" w:rsidP="003F65BB">
      <w:pPr>
        <w:spacing w:after="120" w:line="240" w:lineRule="auto"/>
        <w:rPr>
          <w:rFonts w:ascii="Times New Roman" w:hAnsi="Times New Roman" w:cs="Times New Roman"/>
          <w:b/>
          <w:sz w:val="20"/>
          <w:szCs w:val="20"/>
        </w:rPr>
      </w:pPr>
      <w:bookmarkStart w:id="0" w:name="_GoBack"/>
      <w:r w:rsidRPr="003F65BB">
        <w:rPr>
          <w:rFonts w:ascii="Times New Roman" w:hAnsi="Times New Roman" w:cs="Times New Roman"/>
          <w:b/>
          <w:sz w:val="20"/>
          <w:szCs w:val="20"/>
        </w:rPr>
        <w:lastRenderedPageBreak/>
        <w:t>Tableau I : Caractéristiques générales des exploitations</w:t>
      </w:r>
    </w:p>
    <w:bookmarkEnd w:id="0"/>
    <w:tbl>
      <w:tblPr>
        <w:tblW w:w="10358" w:type="dxa"/>
        <w:jc w:val="center"/>
        <w:tblCellMar>
          <w:left w:w="70" w:type="dxa"/>
          <w:right w:w="70" w:type="dxa"/>
        </w:tblCellMar>
        <w:tblLook w:val="04A0" w:firstRow="1" w:lastRow="0" w:firstColumn="1" w:lastColumn="0" w:noHBand="0" w:noVBand="1"/>
      </w:tblPr>
      <w:tblGrid>
        <w:gridCol w:w="1154"/>
        <w:gridCol w:w="1687"/>
        <w:gridCol w:w="992"/>
        <w:gridCol w:w="874"/>
        <w:gridCol w:w="969"/>
        <w:gridCol w:w="967"/>
        <w:gridCol w:w="146"/>
        <w:gridCol w:w="1134"/>
        <w:gridCol w:w="1275"/>
        <w:gridCol w:w="1160"/>
      </w:tblGrid>
      <w:tr w:rsidR="002B2B43" w:rsidRPr="002B2B43" w14:paraId="67E827BC" w14:textId="77777777" w:rsidTr="00A939D5">
        <w:trPr>
          <w:trHeight w:val="300"/>
          <w:jc w:val="center"/>
        </w:trPr>
        <w:tc>
          <w:tcPr>
            <w:tcW w:w="1154" w:type="dxa"/>
            <w:tcBorders>
              <w:top w:val="single" w:sz="8" w:space="0" w:color="auto"/>
              <w:left w:val="nil"/>
              <w:right w:val="nil"/>
            </w:tcBorders>
            <w:shd w:val="clear" w:color="auto" w:fill="auto"/>
            <w:noWrap/>
            <w:vAlign w:val="center"/>
          </w:tcPr>
          <w:p w14:paraId="74BDE56A"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p>
        </w:tc>
        <w:tc>
          <w:tcPr>
            <w:tcW w:w="5489" w:type="dxa"/>
            <w:gridSpan w:val="5"/>
            <w:tcBorders>
              <w:top w:val="single" w:sz="8" w:space="0" w:color="auto"/>
              <w:left w:val="nil"/>
              <w:bottom w:val="nil"/>
              <w:right w:val="nil"/>
            </w:tcBorders>
            <w:shd w:val="clear" w:color="auto" w:fill="auto"/>
            <w:noWrap/>
            <w:vAlign w:val="center"/>
          </w:tcPr>
          <w:p w14:paraId="341713F0"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Caractéristiques du sol</w:t>
            </w:r>
          </w:p>
        </w:tc>
        <w:tc>
          <w:tcPr>
            <w:tcW w:w="146" w:type="dxa"/>
            <w:tcBorders>
              <w:top w:val="single" w:sz="8" w:space="0" w:color="auto"/>
              <w:left w:val="nil"/>
              <w:right w:val="nil"/>
            </w:tcBorders>
            <w:vAlign w:val="center"/>
          </w:tcPr>
          <w:p w14:paraId="74649E8C"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p>
        </w:tc>
        <w:tc>
          <w:tcPr>
            <w:tcW w:w="1134" w:type="dxa"/>
            <w:tcBorders>
              <w:top w:val="single" w:sz="8" w:space="0" w:color="auto"/>
              <w:left w:val="nil"/>
              <w:right w:val="nil"/>
            </w:tcBorders>
            <w:shd w:val="clear" w:color="auto" w:fill="auto"/>
            <w:noWrap/>
            <w:vAlign w:val="center"/>
          </w:tcPr>
          <w:p w14:paraId="5323622F"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p>
        </w:tc>
        <w:tc>
          <w:tcPr>
            <w:tcW w:w="1275" w:type="dxa"/>
            <w:tcBorders>
              <w:top w:val="single" w:sz="8" w:space="0" w:color="auto"/>
              <w:left w:val="nil"/>
              <w:right w:val="nil"/>
            </w:tcBorders>
            <w:shd w:val="clear" w:color="auto" w:fill="auto"/>
            <w:noWrap/>
            <w:vAlign w:val="center"/>
          </w:tcPr>
          <w:p w14:paraId="0F7A92B3"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p>
        </w:tc>
        <w:tc>
          <w:tcPr>
            <w:tcW w:w="1160" w:type="dxa"/>
            <w:tcBorders>
              <w:top w:val="single" w:sz="8" w:space="0" w:color="auto"/>
              <w:left w:val="nil"/>
              <w:right w:val="nil"/>
            </w:tcBorders>
            <w:shd w:val="clear" w:color="auto" w:fill="auto"/>
            <w:noWrap/>
            <w:vAlign w:val="center"/>
          </w:tcPr>
          <w:p w14:paraId="6C5A8689"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p>
        </w:tc>
      </w:tr>
      <w:tr w:rsidR="002B2B43" w:rsidRPr="002B2B43" w14:paraId="2AB98A60" w14:textId="77777777" w:rsidTr="00A939D5">
        <w:trPr>
          <w:trHeight w:val="300"/>
          <w:jc w:val="center"/>
        </w:trPr>
        <w:tc>
          <w:tcPr>
            <w:tcW w:w="1154" w:type="dxa"/>
            <w:tcBorders>
              <w:left w:val="nil"/>
              <w:bottom w:val="nil"/>
              <w:right w:val="nil"/>
            </w:tcBorders>
            <w:shd w:val="clear" w:color="auto" w:fill="auto"/>
            <w:noWrap/>
            <w:vAlign w:val="center"/>
            <w:hideMark/>
          </w:tcPr>
          <w:p w14:paraId="50493BC6"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Statistique</w:t>
            </w:r>
          </w:p>
        </w:tc>
        <w:tc>
          <w:tcPr>
            <w:tcW w:w="1687" w:type="dxa"/>
            <w:tcBorders>
              <w:top w:val="single" w:sz="8" w:space="0" w:color="auto"/>
              <w:left w:val="nil"/>
              <w:bottom w:val="nil"/>
              <w:right w:val="nil"/>
            </w:tcBorders>
            <w:shd w:val="clear" w:color="auto" w:fill="auto"/>
            <w:noWrap/>
            <w:vAlign w:val="center"/>
            <w:hideMark/>
          </w:tcPr>
          <w:p w14:paraId="24870B06"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M.O</w:t>
            </w:r>
          </w:p>
        </w:tc>
        <w:tc>
          <w:tcPr>
            <w:tcW w:w="992" w:type="dxa"/>
            <w:tcBorders>
              <w:top w:val="single" w:sz="8" w:space="0" w:color="auto"/>
              <w:left w:val="nil"/>
              <w:bottom w:val="nil"/>
              <w:right w:val="nil"/>
            </w:tcBorders>
            <w:shd w:val="clear" w:color="auto" w:fill="auto"/>
            <w:noWrap/>
            <w:vAlign w:val="center"/>
            <w:hideMark/>
          </w:tcPr>
          <w:p w14:paraId="6BBEB4D3"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Argile</w:t>
            </w:r>
          </w:p>
        </w:tc>
        <w:tc>
          <w:tcPr>
            <w:tcW w:w="874" w:type="dxa"/>
            <w:tcBorders>
              <w:top w:val="single" w:sz="8" w:space="0" w:color="auto"/>
              <w:left w:val="nil"/>
              <w:bottom w:val="nil"/>
              <w:right w:val="nil"/>
            </w:tcBorders>
            <w:shd w:val="clear" w:color="auto" w:fill="auto"/>
            <w:noWrap/>
            <w:vAlign w:val="center"/>
            <w:hideMark/>
          </w:tcPr>
          <w:p w14:paraId="0E2C0614"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Limons</w:t>
            </w:r>
          </w:p>
        </w:tc>
        <w:tc>
          <w:tcPr>
            <w:tcW w:w="969" w:type="dxa"/>
            <w:tcBorders>
              <w:top w:val="single" w:sz="8" w:space="0" w:color="auto"/>
              <w:left w:val="nil"/>
              <w:bottom w:val="nil"/>
              <w:right w:val="nil"/>
            </w:tcBorders>
            <w:shd w:val="clear" w:color="auto" w:fill="auto"/>
            <w:noWrap/>
            <w:vAlign w:val="center"/>
            <w:hideMark/>
          </w:tcPr>
          <w:p w14:paraId="49F1F7D2"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Sables</w:t>
            </w:r>
          </w:p>
        </w:tc>
        <w:tc>
          <w:tcPr>
            <w:tcW w:w="967" w:type="dxa"/>
            <w:tcBorders>
              <w:top w:val="single" w:sz="8" w:space="0" w:color="auto"/>
              <w:left w:val="nil"/>
              <w:bottom w:val="nil"/>
              <w:right w:val="nil"/>
            </w:tcBorders>
            <w:vAlign w:val="center"/>
          </w:tcPr>
          <w:p w14:paraId="62BD02DC"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Da (Kg/m3)</w:t>
            </w:r>
          </w:p>
        </w:tc>
        <w:tc>
          <w:tcPr>
            <w:tcW w:w="146" w:type="dxa"/>
            <w:tcBorders>
              <w:left w:val="nil"/>
              <w:bottom w:val="nil"/>
              <w:right w:val="nil"/>
            </w:tcBorders>
            <w:vAlign w:val="center"/>
          </w:tcPr>
          <w:p w14:paraId="0823AE62"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p>
        </w:tc>
        <w:tc>
          <w:tcPr>
            <w:tcW w:w="1134" w:type="dxa"/>
            <w:tcBorders>
              <w:left w:val="nil"/>
              <w:bottom w:val="nil"/>
              <w:right w:val="nil"/>
            </w:tcBorders>
            <w:shd w:val="clear" w:color="auto" w:fill="auto"/>
            <w:noWrap/>
            <w:vAlign w:val="center"/>
            <w:hideMark/>
          </w:tcPr>
          <w:p w14:paraId="5BE58DC3"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Pente</w:t>
            </w:r>
          </w:p>
        </w:tc>
        <w:tc>
          <w:tcPr>
            <w:tcW w:w="1275" w:type="dxa"/>
            <w:tcBorders>
              <w:left w:val="nil"/>
              <w:bottom w:val="nil"/>
              <w:right w:val="nil"/>
            </w:tcBorders>
            <w:shd w:val="clear" w:color="auto" w:fill="auto"/>
            <w:noWrap/>
            <w:vAlign w:val="center"/>
            <w:hideMark/>
          </w:tcPr>
          <w:p w14:paraId="107C5978"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proofErr w:type="spellStart"/>
            <w:r w:rsidRPr="002B2B43">
              <w:rPr>
                <w:rFonts w:ascii="Times New Roman" w:eastAsia="Times New Roman" w:hAnsi="Times New Roman" w:cs="Times New Roman"/>
                <w:color w:val="000000"/>
                <w:sz w:val="20"/>
                <w:szCs w:val="20"/>
                <w:lang w:eastAsia="fr-FR"/>
              </w:rPr>
              <w:t>Dist</w:t>
            </w:r>
            <w:proofErr w:type="spellEnd"/>
            <w:r w:rsidRPr="002B2B43">
              <w:rPr>
                <w:rFonts w:ascii="Times New Roman" w:eastAsia="Times New Roman" w:hAnsi="Times New Roman" w:cs="Times New Roman"/>
                <w:color w:val="000000"/>
                <w:sz w:val="20"/>
                <w:szCs w:val="20"/>
                <w:lang w:eastAsia="fr-FR"/>
              </w:rPr>
              <w:t>-exploit-eau</w:t>
            </w:r>
          </w:p>
        </w:tc>
        <w:tc>
          <w:tcPr>
            <w:tcW w:w="1160" w:type="dxa"/>
            <w:tcBorders>
              <w:left w:val="nil"/>
              <w:bottom w:val="nil"/>
              <w:right w:val="nil"/>
            </w:tcBorders>
            <w:shd w:val="clear" w:color="auto" w:fill="auto"/>
            <w:noWrap/>
            <w:vAlign w:val="center"/>
            <w:hideMark/>
          </w:tcPr>
          <w:p w14:paraId="0D810C17"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Superficie</w:t>
            </w:r>
          </w:p>
        </w:tc>
      </w:tr>
      <w:tr w:rsidR="002B2B43" w:rsidRPr="002B2B43" w14:paraId="26EE2713" w14:textId="77777777" w:rsidTr="00A939D5">
        <w:trPr>
          <w:trHeight w:val="300"/>
          <w:jc w:val="center"/>
        </w:trPr>
        <w:tc>
          <w:tcPr>
            <w:tcW w:w="1154" w:type="dxa"/>
            <w:tcBorders>
              <w:top w:val="single" w:sz="8" w:space="0" w:color="auto"/>
              <w:left w:val="nil"/>
              <w:bottom w:val="nil"/>
              <w:right w:val="nil"/>
            </w:tcBorders>
            <w:shd w:val="clear" w:color="auto" w:fill="auto"/>
            <w:noWrap/>
            <w:vAlign w:val="center"/>
          </w:tcPr>
          <w:p w14:paraId="2AFE4B4F"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Unité</w:t>
            </w:r>
          </w:p>
        </w:tc>
        <w:tc>
          <w:tcPr>
            <w:tcW w:w="4522" w:type="dxa"/>
            <w:gridSpan w:val="4"/>
            <w:tcBorders>
              <w:top w:val="single" w:sz="8" w:space="0" w:color="auto"/>
              <w:left w:val="nil"/>
              <w:bottom w:val="nil"/>
              <w:right w:val="nil"/>
            </w:tcBorders>
            <w:shd w:val="clear" w:color="auto" w:fill="auto"/>
            <w:noWrap/>
            <w:vAlign w:val="center"/>
          </w:tcPr>
          <w:p w14:paraId="789BE5A5"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w:t>
            </w:r>
          </w:p>
        </w:tc>
        <w:tc>
          <w:tcPr>
            <w:tcW w:w="967" w:type="dxa"/>
            <w:tcBorders>
              <w:top w:val="single" w:sz="8" w:space="0" w:color="auto"/>
              <w:left w:val="nil"/>
              <w:bottom w:val="nil"/>
              <w:right w:val="nil"/>
            </w:tcBorders>
            <w:vAlign w:val="center"/>
          </w:tcPr>
          <w:p w14:paraId="0FC5E3E1"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g.cm</w:t>
            </w:r>
            <w:r w:rsidRPr="002B2B43">
              <w:rPr>
                <w:rFonts w:ascii="Times New Roman" w:eastAsia="Times New Roman" w:hAnsi="Times New Roman" w:cs="Times New Roman"/>
                <w:color w:val="000000"/>
                <w:sz w:val="20"/>
                <w:szCs w:val="20"/>
                <w:vertAlign w:val="superscript"/>
                <w:lang w:eastAsia="fr-FR"/>
              </w:rPr>
              <w:t>3</w:t>
            </w:r>
          </w:p>
        </w:tc>
        <w:tc>
          <w:tcPr>
            <w:tcW w:w="146" w:type="dxa"/>
            <w:tcBorders>
              <w:top w:val="single" w:sz="8" w:space="0" w:color="auto"/>
              <w:left w:val="nil"/>
              <w:bottom w:val="nil"/>
              <w:right w:val="nil"/>
            </w:tcBorders>
            <w:vAlign w:val="center"/>
          </w:tcPr>
          <w:p w14:paraId="35C3E8CF"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p>
        </w:tc>
        <w:tc>
          <w:tcPr>
            <w:tcW w:w="1134" w:type="dxa"/>
            <w:tcBorders>
              <w:top w:val="single" w:sz="8" w:space="0" w:color="auto"/>
              <w:left w:val="nil"/>
              <w:bottom w:val="nil"/>
              <w:right w:val="nil"/>
            </w:tcBorders>
            <w:shd w:val="clear" w:color="auto" w:fill="auto"/>
            <w:noWrap/>
            <w:vAlign w:val="center"/>
          </w:tcPr>
          <w:p w14:paraId="37C71E46"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w:t>
            </w:r>
          </w:p>
        </w:tc>
        <w:tc>
          <w:tcPr>
            <w:tcW w:w="1275" w:type="dxa"/>
            <w:tcBorders>
              <w:top w:val="single" w:sz="8" w:space="0" w:color="auto"/>
              <w:left w:val="nil"/>
              <w:bottom w:val="nil"/>
              <w:right w:val="nil"/>
            </w:tcBorders>
            <w:shd w:val="clear" w:color="auto" w:fill="auto"/>
            <w:noWrap/>
            <w:vAlign w:val="center"/>
          </w:tcPr>
          <w:p w14:paraId="6CE12B6F"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m</w:t>
            </w:r>
          </w:p>
        </w:tc>
        <w:tc>
          <w:tcPr>
            <w:tcW w:w="1160" w:type="dxa"/>
            <w:tcBorders>
              <w:top w:val="single" w:sz="8" w:space="0" w:color="auto"/>
              <w:left w:val="nil"/>
              <w:bottom w:val="nil"/>
              <w:right w:val="nil"/>
            </w:tcBorders>
            <w:shd w:val="clear" w:color="auto" w:fill="auto"/>
            <w:noWrap/>
            <w:vAlign w:val="center"/>
          </w:tcPr>
          <w:p w14:paraId="154C3085"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m</w:t>
            </w:r>
            <w:r w:rsidRPr="002B2B43">
              <w:rPr>
                <w:rFonts w:ascii="Times New Roman" w:eastAsia="Times New Roman" w:hAnsi="Times New Roman" w:cs="Times New Roman"/>
                <w:color w:val="000000"/>
                <w:sz w:val="20"/>
                <w:szCs w:val="20"/>
                <w:vertAlign w:val="superscript"/>
                <w:lang w:eastAsia="fr-FR"/>
              </w:rPr>
              <w:t>2</w:t>
            </w:r>
          </w:p>
        </w:tc>
      </w:tr>
      <w:tr w:rsidR="002B2B43" w:rsidRPr="002B2B43" w14:paraId="2F6D0D27" w14:textId="77777777" w:rsidTr="00A939D5">
        <w:trPr>
          <w:trHeight w:val="300"/>
          <w:jc w:val="center"/>
        </w:trPr>
        <w:tc>
          <w:tcPr>
            <w:tcW w:w="1154" w:type="dxa"/>
            <w:tcBorders>
              <w:top w:val="single" w:sz="4" w:space="0" w:color="auto"/>
              <w:left w:val="nil"/>
              <w:bottom w:val="nil"/>
              <w:right w:val="nil"/>
            </w:tcBorders>
            <w:shd w:val="clear" w:color="auto" w:fill="auto"/>
            <w:noWrap/>
            <w:vAlign w:val="center"/>
            <w:hideMark/>
          </w:tcPr>
          <w:p w14:paraId="195DC5B1"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N</w:t>
            </w:r>
          </w:p>
        </w:tc>
        <w:tc>
          <w:tcPr>
            <w:tcW w:w="1687" w:type="dxa"/>
            <w:tcBorders>
              <w:top w:val="single" w:sz="4" w:space="0" w:color="auto"/>
              <w:left w:val="nil"/>
              <w:bottom w:val="nil"/>
              <w:right w:val="nil"/>
            </w:tcBorders>
            <w:shd w:val="clear" w:color="auto" w:fill="auto"/>
            <w:noWrap/>
            <w:vAlign w:val="center"/>
            <w:hideMark/>
          </w:tcPr>
          <w:p w14:paraId="3D75DD36"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30</w:t>
            </w:r>
          </w:p>
        </w:tc>
        <w:tc>
          <w:tcPr>
            <w:tcW w:w="992" w:type="dxa"/>
            <w:tcBorders>
              <w:top w:val="single" w:sz="4" w:space="0" w:color="auto"/>
              <w:left w:val="nil"/>
              <w:bottom w:val="nil"/>
              <w:right w:val="nil"/>
            </w:tcBorders>
            <w:shd w:val="clear" w:color="auto" w:fill="auto"/>
            <w:noWrap/>
            <w:vAlign w:val="center"/>
            <w:hideMark/>
          </w:tcPr>
          <w:p w14:paraId="6DB42626"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30</w:t>
            </w:r>
          </w:p>
        </w:tc>
        <w:tc>
          <w:tcPr>
            <w:tcW w:w="874" w:type="dxa"/>
            <w:tcBorders>
              <w:top w:val="single" w:sz="4" w:space="0" w:color="auto"/>
              <w:left w:val="nil"/>
              <w:bottom w:val="nil"/>
              <w:right w:val="nil"/>
            </w:tcBorders>
            <w:shd w:val="clear" w:color="auto" w:fill="auto"/>
            <w:noWrap/>
            <w:vAlign w:val="center"/>
            <w:hideMark/>
          </w:tcPr>
          <w:p w14:paraId="33286F39"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30</w:t>
            </w:r>
          </w:p>
        </w:tc>
        <w:tc>
          <w:tcPr>
            <w:tcW w:w="969" w:type="dxa"/>
            <w:tcBorders>
              <w:top w:val="single" w:sz="4" w:space="0" w:color="auto"/>
              <w:left w:val="nil"/>
              <w:bottom w:val="nil"/>
              <w:right w:val="nil"/>
            </w:tcBorders>
            <w:shd w:val="clear" w:color="auto" w:fill="auto"/>
            <w:noWrap/>
            <w:vAlign w:val="center"/>
            <w:hideMark/>
          </w:tcPr>
          <w:p w14:paraId="313FBB72"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30</w:t>
            </w:r>
          </w:p>
        </w:tc>
        <w:tc>
          <w:tcPr>
            <w:tcW w:w="967" w:type="dxa"/>
            <w:tcBorders>
              <w:top w:val="single" w:sz="4" w:space="0" w:color="auto"/>
              <w:left w:val="nil"/>
              <w:bottom w:val="nil"/>
              <w:right w:val="nil"/>
            </w:tcBorders>
            <w:vAlign w:val="center"/>
          </w:tcPr>
          <w:p w14:paraId="7506C0CE"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30</w:t>
            </w:r>
          </w:p>
        </w:tc>
        <w:tc>
          <w:tcPr>
            <w:tcW w:w="146" w:type="dxa"/>
            <w:tcBorders>
              <w:top w:val="single" w:sz="4" w:space="0" w:color="auto"/>
              <w:left w:val="nil"/>
              <w:bottom w:val="nil"/>
              <w:right w:val="nil"/>
            </w:tcBorders>
            <w:vAlign w:val="center"/>
          </w:tcPr>
          <w:p w14:paraId="1F1F881D"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p>
        </w:tc>
        <w:tc>
          <w:tcPr>
            <w:tcW w:w="1134" w:type="dxa"/>
            <w:tcBorders>
              <w:top w:val="single" w:sz="4" w:space="0" w:color="auto"/>
              <w:left w:val="nil"/>
              <w:bottom w:val="nil"/>
              <w:right w:val="nil"/>
            </w:tcBorders>
            <w:shd w:val="clear" w:color="auto" w:fill="auto"/>
            <w:noWrap/>
            <w:vAlign w:val="center"/>
            <w:hideMark/>
          </w:tcPr>
          <w:p w14:paraId="17B57BF5"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30</w:t>
            </w:r>
          </w:p>
        </w:tc>
        <w:tc>
          <w:tcPr>
            <w:tcW w:w="1275" w:type="dxa"/>
            <w:tcBorders>
              <w:top w:val="single" w:sz="4" w:space="0" w:color="auto"/>
              <w:left w:val="nil"/>
              <w:bottom w:val="nil"/>
              <w:right w:val="nil"/>
            </w:tcBorders>
            <w:shd w:val="clear" w:color="auto" w:fill="auto"/>
            <w:noWrap/>
            <w:vAlign w:val="center"/>
            <w:hideMark/>
          </w:tcPr>
          <w:p w14:paraId="28611B0E"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30</w:t>
            </w:r>
          </w:p>
        </w:tc>
        <w:tc>
          <w:tcPr>
            <w:tcW w:w="1160" w:type="dxa"/>
            <w:tcBorders>
              <w:top w:val="single" w:sz="4" w:space="0" w:color="auto"/>
              <w:left w:val="nil"/>
              <w:bottom w:val="nil"/>
              <w:right w:val="nil"/>
            </w:tcBorders>
            <w:shd w:val="clear" w:color="auto" w:fill="auto"/>
            <w:noWrap/>
            <w:vAlign w:val="center"/>
            <w:hideMark/>
          </w:tcPr>
          <w:p w14:paraId="3057B2A4"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30</w:t>
            </w:r>
          </w:p>
        </w:tc>
      </w:tr>
      <w:tr w:rsidR="002B2B43" w:rsidRPr="002B2B43" w14:paraId="7892A080" w14:textId="77777777" w:rsidTr="00A939D5">
        <w:trPr>
          <w:trHeight w:val="300"/>
          <w:jc w:val="center"/>
        </w:trPr>
        <w:tc>
          <w:tcPr>
            <w:tcW w:w="1154" w:type="dxa"/>
            <w:tcBorders>
              <w:top w:val="nil"/>
              <w:left w:val="nil"/>
              <w:bottom w:val="nil"/>
              <w:right w:val="nil"/>
            </w:tcBorders>
            <w:shd w:val="clear" w:color="auto" w:fill="auto"/>
            <w:noWrap/>
            <w:vAlign w:val="center"/>
            <w:hideMark/>
          </w:tcPr>
          <w:p w14:paraId="059E6744"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Minimum</w:t>
            </w:r>
          </w:p>
        </w:tc>
        <w:tc>
          <w:tcPr>
            <w:tcW w:w="1687" w:type="dxa"/>
            <w:tcBorders>
              <w:top w:val="nil"/>
              <w:left w:val="nil"/>
              <w:bottom w:val="nil"/>
              <w:right w:val="nil"/>
            </w:tcBorders>
            <w:shd w:val="clear" w:color="auto" w:fill="auto"/>
            <w:noWrap/>
            <w:vAlign w:val="center"/>
            <w:hideMark/>
          </w:tcPr>
          <w:p w14:paraId="28EC43DE"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0,43</w:t>
            </w:r>
          </w:p>
        </w:tc>
        <w:tc>
          <w:tcPr>
            <w:tcW w:w="992" w:type="dxa"/>
            <w:tcBorders>
              <w:top w:val="nil"/>
              <w:left w:val="nil"/>
              <w:bottom w:val="nil"/>
              <w:right w:val="nil"/>
            </w:tcBorders>
            <w:shd w:val="clear" w:color="auto" w:fill="auto"/>
            <w:noWrap/>
            <w:vAlign w:val="center"/>
            <w:hideMark/>
          </w:tcPr>
          <w:p w14:paraId="0AF45CEA"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6,73</w:t>
            </w:r>
          </w:p>
        </w:tc>
        <w:tc>
          <w:tcPr>
            <w:tcW w:w="874" w:type="dxa"/>
            <w:tcBorders>
              <w:top w:val="nil"/>
              <w:left w:val="nil"/>
              <w:bottom w:val="nil"/>
              <w:right w:val="nil"/>
            </w:tcBorders>
            <w:shd w:val="clear" w:color="auto" w:fill="auto"/>
            <w:noWrap/>
            <w:vAlign w:val="center"/>
            <w:hideMark/>
          </w:tcPr>
          <w:p w14:paraId="5B9D3880"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3,96</w:t>
            </w:r>
          </w:p>
        </w:tc>
        <w:tc>
          <w:tcPr>
            <w:tcW w:w="969" w:type="dxa"/>
            <w:tcBorders>
              <w:top w:val="nil"/>
              <w:left w:val="nil"/>
              <w:bottom w:val="nil"/>
              <w:right w:val="nil"/>
            </w:tcBorders>
            <w:shd w:val="clear" w:color="auto" w:fill="auto"/>
            <w:noWrap/>
            <w:vAlign w:val="center"/>
            <w:hideMark/>
          </w:tcPr>
          <w:p w14:paraId="398D68E2"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28,46</w:t>
            </w:r>
          </w:p>
        </w:tc>
        <w:tc>
          <w:tcPr>
            <w:tcW w:w="967" w:type="dxa"/>
            <w:tcBorders>
              <w:top w:val="nil"/>
              <w:left w:val="nil"/>
              <w:bottom w:val="nil"/>
              <w:right w:val="nil"/>
            </w:tcBorders>
            <w:vAlign w:val="center"/>
          </w:tcPr>
          <w:p w14:paraId="00FD6C8A"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1,01</w:t>
            </w:r>
          </w:p>
        </w:tc>
        <w:tc>
          <w:tcPr>
            <w:tcW w:w="146" w:type="dxa"/>
            <w:tcBorders>
              <w:top w:val="nil"/>
              <w:left w:val="nil"/>
              <w:bottom w:val="nil"/>
              <w:right w:val="nil"/>
            </w:tcBorders>
            <w:vAlign w:val="center"/>
          </w:tcPr>
          <w:p w14:paraId="153993B9"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p>
        </w:tc>
        <w:tc>
          <w:tcPr>
            <w:tcW w:w="1134" w:type="dxa"/>
            <w:tcBorders>
              <w:top w:val="nil"/>
              <w:left w:val="nil"/>
              <w:bottom w:val="nil"/>
              <w:right w:val="nil"/>
            </w:tcBorders>
            <w:shd w:val="clear" w:color="auto" w:fill="auto"/>
            <w:noWrap/>
            <w:vAlign w:val="center"/>
            <w:hideMark/>
          </w:tcPr>
          <w:p w14:paraId="5CE4CC6A"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0,10</w:t>
            </w:r>
          </w:p>
        </w:tc>
        <w:tc>
          <w:tcPr>
            <w:tcW w:w="1275" w:type="dxa"/>
            <w:tcBorders>
              <w:top w:val="nil"/>
              <w:left w:val="nil"/>
              <w:bottom w:val="nil"/>
              <w:right w:val="nil"/>
            </w:tcBorders>
            <w:shd w:val="clear" w:color="auto" w:fill="auto"/>
            <w:noWrap/>
            <w:vAlign w:val="center"/>
            <w:hideMark/>
          </w:tcPr>
          <w:p w14:paraId="5082EA4B"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15,00</w:t>
            </w:r>
          </w:p>
        </w:tc>
        <w:tc>
          <w:tcPr>
            <w:tcW w:w="1160" w:type="dxa"/>
            <w:tcBorders>
              <w:top w:val="nil"/>
              <w:left w:val="nil"/>
              <w:bottom w:val="nil"/>
              <w:right w:val="nil"/>
            </w:tcBorders>
            <w:shd w:val="clear" w:color="auto" w:fill="auto"/>
            <w:noWrap/>
            <w:vAlign w:val="center"/>
            <w:hideMark/>
          </w:tcPr>
          <w:p w14:paraId="49631111"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204,00</w:t>
            </w:r>
          </w:p>
        </w:tc>
      </w:tr>
      <w:tr w:rsidR="002B2B43" w:rsidRPr="002B2B43" w14:paraId="702F75CF" w14:textId="77777777" w:rsidTr="00A939D5">
        <w:trPr>
          <w:trHeight w:val="300"/>
          <w:jc w:val="center"/>
        </w:trPr>
        <w:tc>
          <w:tcPr>
            <w:tcW w:w="1154" w:type="dxa"/>
            <w:tcBorders>
              <w:top w:val="nil"/>
              <w:left w:val="nil"/>
              <w:bottom w:val="nil"/>
              <w:right w:val="nil"/>
            </w:tcBorders>
            <w:shd w:val="clear" w:color="auto" w:fill="auto"/>
            <w:noWrap/>
            <w:vAlign w:val="center"/>
            <w:hideMark/>
          </w:tcPr>
          <w:p w14:paraId="2C243AD9"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Maximum</w:t>
            </w:r>
          </w:p>
        </w:tc>
        <w:tc>
          <w:tcPr>
            <w:tcW w:w="1687" w:type="dxa"/>
            <w:tcBorders>
              <w:top w:val="nil"/>
              <w:left w:val="nil"/>
              <w:bottom w:val="nil"/>
              <w:right w:val="nil"/>
            </w:tcBorders>
            <w:shd w:val="clear" w:color="auto" w:fill="auto"/>
            <w:noWrap/>
            <w:vAlign w:val="center"/>
            <w:hideMark/>
          </w:tcPr>
          <w:p w14:paraId="04F2637D"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3,21</w:t>
            </w:r>
          </w:p>
        </w:tc>
        <w:tc>
          <w:tcPr>
            <w:tcW w:w="992" w:type="dxa"/>
            <w:tcBorders>
              <w:top w:val="nil"/>
              <w:left w:val="nil"/>
              <w:bottom w:val="nil"/>
              <w:right w:val="nil"/>
            </w:tcBorders>
            <w:shd w:val="clear" w:color="auto" w:fill="auto"/>
            <w:noWrap/>
            <w:vAlign w:val="center"/>
            <w:hideMark/>
          </w:tcPr>
          <w:p w14:paraId="61DF5EEA"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42,70</w:t>
            </w:r>
          </w:p>
        </w:tc>
        <w:tc>
          <w:tcPr>
            <w:tcW w:w="874" w:type="dxa"/>
            <w:tcBorders>
              <w:top w:val="nil"/>
              <w:left w:val="nil"/>
              <w:bottom w:val="nil"/>
              <w:right w:val="nil"/>
            </w:tcBorders>
            <w:shd w:val="clear" w:color="auto" w:fill="auto"/>
            <w:noWrap/>
            <w:vAlign w:val="center"/>
            <w:hideMark/>
          </w:tcPr>
          <w:p w14:paraId="5149332A"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28,83</w:t>
            </w:r>
          </w:p>
        </w:tc>
        <w:tc>
          <w:tcPr>
            <w:tcW w:w="969" w:type="dxa"/>
            <w:tcBorders>
              <w:top w:val="nil"/>
              <w:left w:val="nil"/>
              <w:bottom w:val="nil"/>
              <w:right w:val="nil"/>
            </w:tcBorders>
            <w:shd w:val="clear" w:color="auto" w:fill="auto"/>
            <w:noWrap/>
            <w:vAlign w:val="center"/>
            <w:hideMark/>
          </w:tcPr>
          <w:p w14:paraId="003CAB47"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86,34</w:t>
            </w:r>
          </w:p>
        </w:tc>
        <w:tc>
          <w:tcPr>
            <w:tcW w:w="967" w:type="dxa"/>
            <w:tcBorders>
              <w:top w:val="nil"/>
              <w:left w:val="nil"/>
              <w:bottom w:val="nil"/>
              <w:right w:val="nil"/>
            </w:tcBorders>
            <w:vAlign w:val="center"/>
          </w:tcPr>
          <w:p w14:paraId="32836E2D"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1,58</w:t>
            </w:r>
          </w:p>
        </w:tc>
        <w:tc>
          <w:tcPr>
            <w:tcW w:w="146" w:type="dxa"/>
            <w:tcBorders>
              <w:top w:val="nil"/>
              <w:left w:val="nil"/>
              <w:bottom w:val="nil"/>
              <w:right w:val="nil"/>
            </w:tcBorders>
            <w:vAlign w:val="center"/>
          </w:tcPr>
          <w:p w14:paraId="772694B4"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p>
        </w:tc>
        <w:tc>
          <w:tcPr>
            <w:tcW w:w="1134" w:type="dxa"/>
            <w:tcBorders>
              <w:top w:val="nil"/>
              <w:left w:val="nil"/>
              <w:bottom w:val="nil"/>
              <w:right w:val="nil"/>
            </w:tcBorders>
            <w:shd w:val="clear" w:color="auto" w:fill="auto"/>
            <w:noWrap/>
            <w:vAlign w:val="center"/>
            <w:hideMark/>
          </w:tcPr>
          <w:p w14:paraId="1E23BC3F"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2,20</w:t>
            </w:r>
          </w:p>
        </w:tc>
        <w:tc>
          <w:tcPr>
            <w:tcW w:w="1275" w:type="dxa"/>
            <w:tcBorders>
              <w:top w:val="nil"/>
              <w:left w:val="nil"/>
              <w:bottom w:val="nil"/>
              <w:right w:val="nil"/>
            </w:tcBorders>
            <w:shd w:val="clear" w:color="auto" w:fill="auto"/>
            <w:noWrap/>
            <w:vAlign w:val="center"/>
            <w:hideMark/>
          </w:tcPr>
          <w:p w14:paraId="5BF9844B"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389,00</w:t>
            </w:r>
          </w:p>
        </w:tc>
        <w:tc>
          <w:tcPr>
            <w:tcW w:w="1160" w:type="dxa"/>
            <w:tcBorders>
              <w:top w:val="nil"/>
              <w:left w:val="nil"/>
              <w:bottom w:val="nil"/>
              <w:right w:val="nil"/>
            </w:tcBorders>
            <w:shd w:val="clear" w:color="auto" w:fill="auto"/>
            <w:noWrap/>
            <w:vAlign w:val="center"/>
            <w:hideMark/>
          </w:tcPr>
          <w:p w14:paraId="0E550F0F"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18970,00</w:t>
            </w:r>
          </w:p>
        </w:tc>
      </w:tr>
      <w:tr w:rsidR="002B2B43" w:rsidRPr="002B2B43" w14:paraId="4A716D63" w14:textId="77777777" w:rsidTr="00A939D5">
        <w:trPr>
          <w:trHeight w:val="300"/>
          <w:jc w:val="center"/>
        </w:trPr>
        <w:tc>
          <w:tcPr>
            <w:tcW w:w="1154" w:type="dxa"/>
            <w:tcBorders>
              <w:top w:val="nil"/>
              <w:left w:val="nil"/>
              <w:bottom w:val="nil"/>
              <w:right w:val="nil"/>
            </w:tcBorders>
            <w:shd w:val="clear" w:color="auto" w:fill="auto"/>
            <w:noWrap/>
            <w:vAlign w:val="center"/>
            <w:hideMark/>
          </w:tcPr>
          <w:p w14:paraId="67C76B5A"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Médiane</w:t>
            </w:r>
          </w:p>
        </w:tc>
        <w:tc>
          <w:tcPr>
            <w:tcW w:w="1687" w:type="dxa"/>
            <w:tcBorders>
              <w:top w:val="nil"/>
              <w:left w:val="nil"/>
              <w:bottom w:val="nil"/>
              <w:right w:val="nil"/>
            </w:tcBorders>
            <w:shd w:val="clear" w:color="auto" w:fill="auto"/>
            <w:noWrap/>
            <w:vAlign w:val="center"/>
            <w:hideMark/>
          </w:tcPr>
          <w:p w14:paraId="686E3DED"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1,65</w:t>
            </w:r>
          </w:p>
        </w:tc>
        <w:tc>
          <w:tcPr>
            <w:tcW w:w="992" w:type="dxa"/>
            <w:tcBorders>
              <w:top w:val="nil"/>
              <w:left w:val="nil"/>
              <w:bottom w:val="nil"/>
              <w:right w:val="nil"/>
            </w:tcBorders>
            <w:shd w:val="clear" w:color="auto" w:fill="auto"/>
            <w:noWrap/>
            <w:vAlign w:val="center"/>
            <w:hideMark/>
          </w:tcPr>
          <w:p w14:paraId="684A8BF4"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21,18</w:t>
            </w:r>
          </w:p>
        </w:tc>
        <w:tc>
          <w:tcPr>
            <w:tcW w:w="874" w:type="dxa"/>
            <w:tcBorders>
              <w:top w:val="nil"/>
              <w:left w:val="nil"/>
              <w:bottom w:val="nil"/>
              <w:right w:val="nil"/>
            </w:tcBorders>
            <w:shd w:val="clear" w:color="auto" w:fill="auto"/>
            <w:noWrap/>
            <w:vAlign w:val="center"/>
            <w:hideMark/>
          </w:tcPr>
          <w:p w14:paraId="0EE80E33"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13,80</w:t>
            </w:r>
          </w:p>
        </w:tc>
        <w:tc>
          <w:tcPr>
            <w:tcW w:w="969" w:type="dxa"/>
            <w:tcBorders>
              <w:top w:val="nil"/>
              <w:left w:val="nil"/>
              <w:bottom w:val="nil"/>
              <w:right w:val="nil"/>
            </w:tcBorders>
            <w:shd w:val="clear" w:color="auto" w:fill="auto"/>
            <w:noWrap/>
            <w:vAlign w:val="center"/>
            <w:hideMark/>
          </w:tcPr>
          <w:p w14:paraId="777565FC"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64,75</w:t>
            </w:r>
          </w:p>
        </w:tc>
        <w:tc>
          <w:tcPr>
            <w:tcW w:w="967" w:type="dxa"/>
            <w:tcBorders>
              <w:top w:val="nil"/>
              <w:left w:val="nil"/>
              <w:bottom w:val="nil"/>
              <w:right w:val="nil"/>
            </w:tcBorders>
            <w:vAlign w:val="center"/>
          </w:tcPr>
          <w:p w14:paraId="6DD65BDF"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1,35</w:t>
            </w:r>
          </w:p>
        </w:tc>
        <w:tc>
          <w:tcPr>
            <w:tcW w:w="146" w:type="dxa"/>
            <w:tcBorders>
              <w:top w:val="nil"/>
              <w:left w:val="nil"/>
              <w:bottom w:val="nil"/>
              <w:right w:val="nil"/>
            </w:tcBorders>
            <w:vAlign w:val="center"/>
          </w:tcPr>
          <w:p w14:paraId="538F666F"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p>
        </w:tc>
        <w:tc>
          <w:tcPr>
            <w:tcW w:w="1134" w:type="dxa"/>
            <w:tcBorders>
              <w:top w:val="nil"/>
              <w:left w:val="nil"/>
              <w:bottom w:val="nil"/>
              <w:right w:val="nil"/>
            </w:tcBorders>
            <w:shd w:val="clear" w:color="auto" w:fill="auto"/>
            <w:noWrap/>
            <w:vAlign w:val="center"/>
            <w:hideMark/>
          </w:tcPr>
          <w:p w14:paraId="3F5983DF"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1,00</w:t>
            </w:r>
          </w:p>
        </w:tc>
        <w:tc>
          <w:tcPr>
            <w:tcW w:w="1275" w:type="dxa"/>
            <w:tcBorders>
              <w:top w:val="nil"/>
              <w:left w:val="nil"/>
              <w:bottom w:val="nil"/>
              <w:right w:val="nil"/>
            </w:tcBorders>
            <w:shd w:val="clear" w:color="auto" w:fill="auto"/>
            <w:noWrap/>
            <w:vAlign w:val="center"/>
            <w:hideMark/>
          </w:tcPr>
          <w:p w14:paraId="6824C9CA"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87,00</w:t>
            </w:r>
          </w:p>
        </w:tc>
        <w:tc>
          <w:tcPr>
            <w:tcW w:w="1160" w:type="dxa"/>
            <w:tcBorders>
              <w:top w:val="nil"/>
              <w:left w:val="nil"/>
              <w:bottom w:val="nil"/>
              <w:right w:val="nil"/>
            </w:tcBorders>
            <w:shd w:val="clear" w:color="auto" w:fill="auto"/>
            <w:noWrap/>
            <w:vAlign w:val="center"/>
            <w:hideMark/>
          </w:tcPr>
          <w:p w14:paraId="665E4B08"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1147,90</w:t>
            </w:r>
          </w:p>
        </w:tc>
      </w:tr>
      <w:tr w:rsidR="002B2B43" w:rsidRPr="002B2B43" w14:paraId="539DE868" w14:textId="77777777" w:rsidTr="00A939D5">
        <w:trPr>
          <w:trHeight w:val="300"/>
          <w:jc w:val="center"/>
        </w:trPr>
        <w:tc>
          <w:tcPr>
            <w:tcW w:w="1154" w:type="dxa"/>
            <w:tcBorders>
              <w:top w:val="nil"/>
              <w:left w:val="nil"/>
              <w:bottom w:val="nil"/>
              <w:right w:val="nil"/>
            </w:tcBorders>
            <w:shd w:val="clear" w:color="auto" w:fill="auto"/>
            <w:noWrap/>
            <w:vAlign w:val="center"/>
            <w:hideMark/>
          </w:tcPr>
          <w:p w14:paraId="7C7E55FD"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Moyenne</w:t>
            </w:r>
          </w:p>
        </w:tc>
        <w:tc>
          <w:tcPr>
            <w:tcW w:w="1687" w:type="dxa"/>
            <w:tcBorders>
              <w:top w:val="nil"/>
              <w:left w:val="nil"/>
              <w:bottom w:val="nil"/>
              <w:right w:val="nil"/>
            </w:tcBorders>
            <w:shd w:val="clear" w:color="auto" w:fill="auto"/>
            <w:noWrap/>
            <w:vAlign w:val="center"/>
            <w:hideMark/>
          </w:tcPr>
          <w:p w14:paraId="15B5C1C0"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1,67</w:t>
            </w:r>
          </w:p>
        </w:tc>
        <w:tc>
          <w:tcPr>
            <w:tcW w:w="992" w:type="dxa"/>
            <w:tcBorders>
              <w:top w:val="nil"/>
              <w:left w:val="nil"/>
              <w:bottom w:val="nil"/>
              <w:right w:val="nil"/>
            </w:tcBorders>
            <w:shd w:val="clear" w:color="auto" w:fill="auto"/>
            <w:noWrap/>
            <w:vAlign w:val="center"/>
            <w:hideMark/>
          </w:tcPr>
          <w:p w14:paraId="78D69985"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22,04</w:t>
            </w:r>
          </w:p>
        </w:tc>
        <w:tc>
          <w:tcPr>
            <w:tcW w:w="874" w:type="dxa"/>
            <w:tcBorders>
              <w:top w:val="nil"/>
              <w:left w:val="nil"/>
              <w:bottom w:val="nil"/>
              <w:right w:val="nil"/>
            </w:tcBorders>
            <w:shd w:val="clear" w:color="auto" w:fill="auto"/>
            <w:noWrap/>
            <w:vAlign w:val="center"/>
            <w:hideMark/>
          </w:tcPr>
          <w:p w14:paraId="5BCC7B0D"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14,52</w:t>
            </w:r>
          </w:p>
        </w:tc>
        <w:tc>
          <w:tcPr>
            <w:tcW w:w="969" w:type="dxa"/>
            <w:tcBorders>
              <w:top w:val="nil"/>
              <w:left w:val="nil"/>
              <w:bottom w:val="nil"/>
              <w:right w:val="nil"/>
            </w:tcBorders>
            <w:shd w:val="clear" w:color="auto" w:fill="auto"/>
            <w:noWrap/>
            <w:vAlign w:val="center"/>
            <w:hideMark/>
          </w:tcPr>
          <w:p w14:paraId="4E9985C0"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63,44</w:t>
            </w:r>
          </w:p>
        </w:tc>
        <w:tc>
          <w:tcPr>
            <w:tcW w:w="967" w:type="dxa"/>
            <w:tcBorders>
              <w:top w:val="nil"/>
              <w:left w:val="nil"/>
              <w:bottom w:val="nil"/>
              <w:right w:val="nil"/>
            </w:tcBorders>
            <w:vAlign w:val="center"/>
          </w:tcPr>
          <w:p w14:paraId="72AD0365"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1,34</w:t>
            </w:r>
          </w:p>
        </w:tc>
        <w:tc>
          <w:tcPr>
            <w:tcW w:w="146" w:type="dxa"/>
            <w:tcBorders>
              <w:top w:val="nil"/>
              <w:left w:val="nil"/>
              <w:bottom w:val="nil"/>
              <w:right w:val="nil"/>
            </w:tcBorders>
            <w:vAlign w:val="center"/>
          </w:tcPr>
          <w:p w14:paraId="72682210"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p>
        </w:tc>
        <w:tc>
          <w:tcPr>
            <w:tcW w:w="1134" w:type="dxa"/>
            <w:tcBorders>
              <w:top w:val="nil"/>
              <w:left w:val="nil"/>
              <w:bottom w:val="nil"/>
              <w:right w:val="nil"/>
            </w:tcBorders>
            <w:shd w:val="clear" w:color="auto" w:fill="auto"/>
            <w:noWrap/>
            <w:vAlign w:val="center"/>
            <w:hideMark/>
          </w:tcPr>
          <w:p w14:paraId="1FEFC111"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0,88</w:t>
            </w:r>
          </w:p>
        </w:tc>
        <w:tc>
          <w:tcPr>
            <w:tcW w:w="1275" w:type="dxa"/>
            <w:tcBorders>
              <w:top w:val="nil"/>
              <w:left w:val="nil"/>
              <w:bottom w:val="nil"/>
              <w:right w:val="nil"/>
            </w:tcBorders>
            <w:shd w:val="clear" w:color="auto" w:fill="auto"/>
            <w:noWrap/>
            <w:vAlign w:val="center"/>
            <w:hideMark/>
          </w:tcPr>
          <w:p w14:paraId="4BCE6964"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100,97</w:t>
            </w:r>
          </w:p>
        </w:tc>
        <w:tc>
          <w:tcPr>
            <w:tcW w:w="1160" w:type="dxa"/>
            <w:tcBorders>
              <w:top w:val="nil"/>
              <w:left w:val="nil"/>
              <w:bottom w:val="nil"/>
              <w:right w:val="nil"/>
            </w:tcBorders>
            <w:shd w:val="clear" w:color="auto" w:fill="auto"/>
            <w:noWrap/>
            <w:vAlign w:val="center"/>
            <w:hideMark/>
          </w:tcPr>
          <w:p w14:paraId="48ADEE5B"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3061,49</w:t>
            </w:r>
          </w:p>
        </w:tc>
      </w:tr>
      <w:tr w:rsidR="002B2B43" w:rsidRPr="002B2B43" w14:paraId="7B77D5D5" w14:textId="77777777" w:rsidTr="00A939D5">
        <w:trPr>
          <w:trHeight w:val="315"/>
          <w:jc w:val="center"/>
        </w:trPr>
        <w:tc>
          <w:tcPr>
            <w:tcW w:w="1154" w:type="dxa"/>
            <w:tcBorders>
              <w:top w:val="nil"/>
              <w:left w:val="nil"/>
              <w:bottom w:val="single" w:sz="8" w:space="0" w:color="auto"/>
              <w:right w:val="nil"/>
            </w:tcBorders>
            <w:shd w:val="clear" w:color="auto" w:fill="auto"/>
            <w:noWrap/>
            <w:vAlign w:val="center"/>
            <w:hideMark/>
          </w:tcPr>
          <w:p w14:paraId="6BE9C554"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Ecart-type</w:t>
            </w:r>
          </w:p>
        </w:tc>
        <w:tc>
          <w:tcPr>
            <w:tcW w:w="1687" w:type="dxa"/>
            <w:tcBorders>
              <w:top w:val="nil"/>
              <w:left w:val="nil"/>
              <w:bottom w:val="single" w:sz="8" w:space="0" w:color="auto"/>
              <w:right w:val="nil"/>
            </w:tcBorders>
            <w:shd w:val="clear" w:color="auto" w:fill="auto"/>
            <w:noWrap/>
            <w:vAlign w:val="center"/>
            <w:hideMark/>
          </w:tcPr>
          <w:p w14:paraId="024428C5"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0,58</w:t>
            </w:r>
          </w:p>
        </w:tc>
        <w:tc>
          <w:tcPr>
            <w:tcW w:w="992" w:type="dxa"/>
            <w:tcBorders>
              <w:top w:val="nil"/>
              <w:left w:val="nil"/>
              <w:bottom w:val="single" w:sz="8" w:space="0" w:color="auto"/>
              <w:right w:val="nil"/>
            </w:tcBorders>
            <w:shd w:val="clear" w:color="auto" w:fill="auto"/>
            <w:noWrap/>
            <w:vAlign w:val="center"/>
            <w:hideMark/>
          </w:tcPr>
          <w:p w14:paraId="0BDCCDC9"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9,14</w:t>
            </w:r>
          </w:p>
        </w:tc>
        <w:tc>
          <w:tcPr>
            <w:tcW w:w="874" w:type="dxa"/>
            <w:tcBorders>
              <w:top w:val="nil"/>
              <w:left w:val="nil"/>
              <w:bottom w:val="single" w:sz="8" w:space="0" w:color="auto"/>
              <w:right w:val="nil"/>
            </w:tcBorders>
            <w:shd w:val="clear" w:color="auto" w:fill="auto"/>
            <w:noWrap/>
            <w:vAlign w:val="center"/>
            <w:hideMark/>
          </w:tcPr>
          <w:p w14:paraId="30CF3EB0"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4,81</w:t>
            </w:r>
          </w:p>
        </w:tc>
        <w:tc>
          <w:tcPr>
            <w:tcW w:w="969" w:type="dxa"/>
            <w:tcBorders>
              <w:top w:val="nil"/>
              <w:left w:val="nil"/>
              <w:bottom w:val="single" w:sz="8" w:space="0" w:color="auto"/>
              <w:right w:val="nil"/>
            </w:tcBorders>
            <w:shd w:val="clear" w:color="auto" w:fill="auto"/>
            <w:noWrap/>
            <w:vAlign w:val="center"/>
            <w:hideMark/>
          </w:tcPr>
          <w:p w14:paraId="19A4A5EB"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11,93</w:t>
            </w:r>
          </w:p>
        </w:tc>
        <w:tc>
          <w:tcPr>
            <w:tcW w:w="967" w:type="dxa"/>
            <w:tcBorders>
              <w:top w:val="nil"/>
              <w:left w:val="nil"/>
              <w:bottom w:val="single" w:sz="8" w:space="0" w:color="auto"/>
              <w:right w:val="nil"/>
            </w:tcBorders>
            <w:vAlign w:val="center"/>
          </w:tcPr>
          <w:p w14:paraId="5C7DF79B"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1,37</w:t>
            </w:r>
          </w:p>
        </w:tc>
        <w:tc>
          <w:tcPr>
            <w:tcW w:w="146" w:type="dxa"/>
            <w:tcBorders>
              <w:top w:val="nil"/>
              <w:left w:val="nil"/>
              <w:bottom w:val="single" w:sz="8" w:space="0" w:color="auto"/>
              <w:right w:val="nil"/>
            </w:tcBorders>
            <w:vAlign w:val="center"/>
          </w:tcPr>
          <w:p w14:paraId="6790E596"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p>
        </w:tc>
        <w:tc>
          <w:tcPr>
            <w:tcW w:w="1134" w:type="dxa"/>
            <w:tcBorders>
              <w:top w:val="nil"/>
              <w:left w:val="nil"/>
              <w:bottom w:val="single" w:sz="8" w:space="0" w:color="auto"/>
              <w:right w:val="nil"/>
            </w:tcBorders>
            <w:shd w:val="clear" w:color="auto" w:fill="auto"/>
            <w:noWrap/>
            <w:vAlign w:val="center"/>
            <w:hideMark/>
          </w:tcPr>
          <w:p w14:paraId="3CC49FC8"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0,66</w:t>
            </w:r>
          </w:p>
        </w:tc>
        <w:tc>
          <w:tcPr>
            <w:tcW w:w="1275" w:type="dxa"/>
            <w:tcBorders>
              <w:top w:val="nil"/>
              <w:left w:val="nil"/>
              <w:bottom w:val="single" w:sz="8" w:space="0" w:color="auto"/>
              <w:right w:val="nil"/>
            </w:tcBorders>
            <w:shd w:val="clear" w:color="auto" w:fill="auto"/>
            <w:noWrap/>
            <w:vAlign w:val="center"/>
            <w:hideMark/>
          </w:tcPr>
          <w:p w14:paraId="5E3291E6"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80,76</w:t>
            </w:r>
          </w:p>
        </w:tc>
        <w:tc>
          <w:tcPr>
            <w:tcW w:w="1160" w:type="dxa"/>
            <w:tcBorders>
              <w:top w:val="nil"/>
              <w:left w:val="nil"/>
              <w:bottom w:val="single" w:sz="8" w:space="0" w:color="auto"/>
              <w:right w:val="nil"/>
            </w:tcBorders>
            <w:shd w:val="clear" w:color="auto" w:fill="auto"/>
            <w:noWrap/>
            <w:vAlign w:val="center"/>
            <w:hideMark/>
          </w:tcPr>
          <w:p w14:paraId="55140104" w14:textId="77777777" w:rsidR="002B2B43" w:rsidRPr="002B2B43" w:rsidRDefault="002B2B43" w:rsidP="00A939D5">
            <w:pPr>
              <w:spacing w:line="240" w:lineRule="auto"/>
              <w:jc w:val="center"/>
              <w:rPr>
                <w:rFonts w:ascii="Times New Roman" w:eastAsia="Times New Roman" w:hAnsi="Times New Roman" w:cs="Times New Roman"/>
                <w:color w:val="000000"/>
                <w:sz w:val="20"/>
                <w:szCs w:val="20"/>
                <w:lang w:eastAsia="fr-FR"/>
              </w:rPr>
            </w:pPr>
            <w:r w:rsidRPr="002B2B43">
              <w:rPr>
                <w:rFonts w:ascii="Times New Roman" w:eastAsia="Times New Roman" w:hAnsi="Times New Roman" w:cs="Times New Roman"/>
                <w:color w:val="000000"/>
                <w:sz w:val="20"/>
                <w:szCs w:val="20"/>
                <w:lang w:eastAsia="fr-FR"/>
              </w:rPr>
              <w:t>4621,72</w:t>
            </w:r>
          </w:p>
        </w:tc>
      </w:tr>
    </w:tbl>
    <w:p w14:paraId="3F535559" w14:textId="2BC91DFD" w:rsidR="002B2B43" w:rsidRDefault="002B2B43" w:rsidP="002B2B43">
      <w:pPr>
        <w:spacing w:line="240" w:lineRule="auto"/>
        <w:rPr>
          <w:rFonts w:ascii="Times New Roman" w:hAnsi="Times New Roman" w:cs="Times New Roman"/>
          <w:sz w:val="20"/>
          <w:szCs w:val="20"/>
        </w:rPr>
      </w:pPr>
      <w:r w:rsidRPr="002B2B43">
        <w:rPr>
          <w:rFonts w:ascii="Times New Roman" w:hAnsi="Times New Roman" w:cs="Times New Roman"/>
          <w:sz w:val="20"/>
          <w:szCs w:val="20"/>
        </w:rPr>
        <w:t xml:space="preserve">M.O= teneur en matière organique ; Da = densité apparente ; </w:t>
      </w:r>
      <w:proofErr w:type="spellStart"/>
      <w:r w:rsidRPr="002B2B43">
        <w:rPr>
          <w:rFonts w:ascii="Times New Roman" w:hAnsi="Times New Roman" w:cs="Times New Roman"/>
          <w:sz w:val="20"/>
          <w:szCs w:val="20"/>
        </w:rPr>
        <w:t>Dist</w:t>
      </w:r>
      <w:proofErr w:type="spellEnd"/>
      <w:r w:rsidRPr="002B2B43">
        <w:rPr>
          <w:rFonts w:ascii="Times New Roman" w:hAnsi="Times New Roman" w:cs="Times New Roman"/>
          <w:sz w:val="20"/>
          <w:szCs w:val="20"/>
        </w:rPr>
        <w:t>-exploit-eau = distance entre l’exploitation et la source d’eau</w:t>
      </w:r>
    </w:p>
    <w:p w14:paraId="5D903166" w14:textId="158B7780" w:rsidR="002B2B43" w:rsidRDefault="002B2B43" w:rsidP="002B2B43">
      <w:pPr>
        <w:spacing w:line="240" w:lineRule="auto"/>
        <w:rPr>
          <w:rFonts w:ascii="Times New Roman" w:hAnsi="Times New Roman" w:cs="Times New Roman"/>
          <w:sz w:val="20"/>
          <w:szCs w:val="20"/>
        </w:rPr>
      </w:pPr>
    </w:p>
    <w:p w14:paraId="22741543" w14:textId="0C5121C2" w:rsidR="002B2B43" w:rsidRDefault="002B2B43" w:rsidP="002B2B43">
      <w:pPr>
        <w:spacing w:line="240" w:lineRule="auto"/>
        <w:rPr>
          <w:rFonts w:ascii="Times New Roman" w:hAnsi="Times New Roman" w:cs="Times New Roman"/>
          <w:sz w:val="20"/>
          <w:szCs w:val="20"/>
        </w:rPr>
      </w:pPr>
    </w:p>
    <w:p w14:paraId="3455C71F" w14:textId="08C5F85C" w:rsidR="0070047B" w:rsidRPr="002B2B43" w:rsidRDefault="00EB7D2E" w:rsidP="002B2B43">
      <w:pPr>
        <w:spacing w:after="120" w:line="240" w:lineRule="auto"/>
        <w:rPr>
          <w:rFonts w:ascii="Times New Roman" w:hAnsi="Times New Roman" w:cs="Times New Roman"/>
          <w:b/>
          <w:i/>
          <w:sz w:val="24"/>
        </w:rPr>
      </w:pPr>
      <w:r w:rsidRPr="002B2B43">
        <w:rPr>
          <w:rFonts w:ascii="Times New Roman" w:hAnsi="Times New Roman" w:cs="Times New Roman"/>
          <w:b/>
          <w:sz w:val="24"/>
        </w:rPr>
        <w:t>2</w:t>
      </w:r>
      <w:r w:rsidR="00FD41E5" w:rsidRPr="002B2B43">
        <w:rPr>
          <w:rFonts w:ascii="Times New Roman" w:hAnsi="Times New Roman" w:cs="Times New Roman"/>
          <w:b/>
          <w:sz w:val="24"/>
        </w:rPr>
        <w:t xml:space="preserve">.2 </w:t>
      </w:r>
      <w:r w:rsidR="00FD3A0E" w:rsidRPr="002B2B43">
        <w:rPr>
          <w:rFonts w:ascii="Times New Roman" w:hAnsi="Times New Roman" w:cs="Times New Roman"/>
          <w:b/>
          <w:sz w:val="24"/>
        </w:rPr>
        <w:t xml:space="preserve">Types </w:t>
      </w:r>
      <w:r w:rsidR="00F3575C" w:rsidRPr="002B2B43">
        <w:rPr>
          <w:rFonts w:ascii="Times New Roman" w:hAnsi="Times New Roman" w:cs="Times New Roman"/>
          <w:b/>
          <w:sz w:val="24"/>
        </w:rPr>
        <w:t xml:space="preserve">et doses </w:t>
      </w:r>
      <w:r w:rsidR="00FD3A0E" w:rsidRPr="002B2B43">
        <w:rPr>
          <w:rFonts w:ascii="Times New Roman" w:hAnsi="Times New Roman" w:cs="Times New Roman"/>
          <w:b/>
          <w:sz w:val="24"/>
        </w:rPr>
        <w:t>de pesticides utilisés</w:t>
      </w:r>
    </w:p>
    <w:p w14:paraId="3769C853" w14:textId="4C518473" w:rsidR="00C80FE5" w:rsidRDefault="00145599" w:rsidP="00CD5AEC">
      <w:pPr>
        <w:spacing w:after="120" w:line="240" w:lineRule="auto"/>
        <w:rPr>
          <w:rFonts w:ascii="Times New Roman" w:eastAsia="Times New Roman" w:hAnsi="Times New Roman" w:cs="Times New Roman"/>
          <w:sz w:val="24"/>
          <w:szCs w:val="24"/>
          <w:lang w:eastAsia="fr-FR"/>
        </w:rPr>
      </w:pPr>
      <w:r w:rsidRPr="00145599">
        <w:rPr>
          <w:rFonts w:ascii="Times New Roman" w:hAnsi="Times New Roman" w:cs="Times New Roman"/>
          <w:sz w:val="24"/>
          <w:szCs w:val="24"/>
        </w:rPr>
        <w:t xml:space="preserve">Les maraichers utilisent une gamme variée de pesticides. Les plus fréquentes sont de la famille des </w:t>
      </w:r>
      <w:proofErr w:type="spellStart"/>
      <w:r w:rsidRPr="00145599">
        <w:rPr>
          <w:rFonts w:ascii="Times New Roman" w:hAnsi="Times New Roman" w:cs="Times New Roman"/>
          <w:sz w:val="24"/>
          <w:szCs w:val="24"/>
        </w:rPr>
        <w:t>pyréthrinoïdes</w:t>
      </w:r>
      <w:proofErr w:type="spellEnd"/>
      <w:r w:rsidRPr="00145599">
        <w:rPr>
          <w:rFonts w:ascii="Times New Roman" w:hAnsi="Times New Roman" w:cs="Times New Roman"/>
          <w:sz w:val="24"/>
          <w:szCs w:val="24"/>
        </w:rPr>
        <w:t xml:space="preserve"> (91%</w:t>
      </w:r>
      <w:r>
        <w:rPr>
          <w:rFonts w:ascii="Times New Roman" w:hAnsi="Times New Roman" w:cs="Times New Roman"/>
          <w:sz w:val="24"/>
          <w:szCs w:val="24"/>
        </w:rPr>
        <w:t xml:space="preserve"> des producteurs</w:t>
      </w:r>
      <w:r w:rsidRPr="00145599">
        <w:rPr>
          <w:rFonts w:ascii="Times New Roman" w:hAnsi="Times New Roman" w:cs="Times New Roman"/>
          <w:sz w:val="24"/>
          <w:szCs w:val="24"/>
        </w:rPr>
        <w:t xml:space="preserve">) et des </w:t>
      </w:r>
      <w:proofErr w:type="spellStart"/>
      <w:r w:rsidRPr="00145599">
        <w:rPr>
          <w:rFonts w:ascii="Times New Roman" w:hAnsi="Times New Roman" w:cs="Times New Roman"/>
          <w:sz w:val="24"/>
          <w:szCs w:val="24"/>
        </w:rPr>
        <w:t>néonicotinoïdes</w:t>
      </w:r>
      <w:proofErr w:type="spellEnd"/>
      <w:r w:rsidRPr="00145599">
        <w:rPr>
          <w:rFonts w:ascii="Times New Roman" w:hAnsi="Times New Roman" w:cs="Times New Roman"/>
          <w:sz w:val="24"/>
          <w:szCs w:val="24"/>
        </w:rPr>
        <w:t xml:space="preserve"> (55%). En plus, on retrouve la famille des </w:t>
      </w:r>
      <w:proofErr w:type="spellStart"/>
      <w:r w:rsidRPr="00145599">
        <w:rPr>
          <w:rFonts w:ascii="Times New Roman" w:hAnsi="Times New Roman" w:cs="Times New Roman"/>
          <w:sz w:val="24"/>
          <w:szCs w:val="24"/>
        </w:rPr>
        <w:t>avermectines</w:t>
      </w:r>
      <w:proofErr w:type="spellEnd"/>
      <w:r w:rsidRPr="00145599">
        <w:rPr>
          <w:rFonts w:ascii="Times New Roman" w:hAnsi="Times New Roman" w:cs="Times New Roman"/>
          <w:sz w:val="24"/>
          <w:szCs w:val="24"/>
        </w:rPr>
        <w:t xml:space="preserve"> (36%), des organophosphorés (27%) ainsi que des carbamates et des </w:t>
      </w:r>
      <w:proofErr w:type="spellStart"/>
      <w:r w:rsidRPr="00145599">
        <w:rPr>
          <w:rFonts w:ascii="Times New Roman" w:hAnsi="Times New Roman" w:cs="Times New Roman"/>
          <w:sz w:val="24"/>
          <w:szCs w:val="24"/>
        </w:rPr>
        <w:t>amino-phosphonates</w:t>
      </w:r>
      <w:proofErr w:type="spellEnd"/>
      <w:r w:rsidRPr="00145599">
        <w:rPr>
          <w:rFonts w:ascii="Times New Roman" w:hAnsi="Times New Roman" w:cs="Times New Roman"/>
          <w:sz w:val="24"/>
          <w:szCs w:val="24"/>
        </w:rPr>
        <w:t xml:space="preserve"> (18%).</w:t>
      </w:r>
      <w:r w:rsidR="00270455">
        <w:rPr>
          <w:rFonts w:ascii="Times New Roman" w:eastAsia="Times New Roman" w:hAnsi="Times New Roman" w:cs="Times New Roman"/>
          <w:sz w:val="24"/>
          <w:szCs w:val="24"/>
          <w:lang w:eastAsia="fr-FR"/>
        </w:rPr>
        <w:t xml:space="preserve"> </w:t>
      </w:r>
      <w:r w:rsidR="00FD41E5" w:rsidRPr="007379F1">
        <w:rPr>
          <w:rFonts w:ascii="Times New Roman" w:eastAsia="Times New Roman" w:hAnsi="Times New Roman" w:cs="Times New Roman"/>
          <w:sz w:val="24"/>
          <w:szCs w:val="24"/>
          <w:lang w:eastAsia="fr-FR"/>
        </w:rPr>
        <w:t>L’</w:t>
      </w:r>
      <w:proofErr w:type="spellStart"/>
      <w:r w:rsidR="00FD41E5" w:rsidRPr="007379F1">
        <w:rPr>
          <w:rFonts w:ascii="Times New Roman" w:eastAsia="Times New Roman" w:hAnsi="Times New Roman" w:cs="Times New Roman"/>
          <w:sz w:val="24"/>
          <w:szCs w:val="24"/>
          <w:lang w:eastAsia="fr-FR"/>
        </w:rPr>
        <w:t>acétamipride</w:t>
      </w:r>
      <w:proofErr w:type="spellEnd"/>
      <w:r w:rsidR="00AB070D" w:rsidRPr="007379F1">
        <w:rPr>
          <w:rFonts w:ascii="Times New Roman" w:eastAsia="Times New Roman" w:hAnsi="Times New Roman" w:cs="Times New Roman"/>
          <w:sz w:val="24"/>
          <w:szCs w:val="24"/>
          <w:lang w:eastAsia="fr-FR"/>
        </w:rPr>
        <w:t>, le cyperméthrine et le lambda-</w:t>
      </w:r>
      <w:proofErr w:type="spellStart"/>
      <w:r w:rsidR="00AB070D" w:rsidRPr="007379F1">
        <w:rPr>
          <w:rFonts w:ascii="Times New Roman" w:eastAsia="Times New Roman" w:hAnsi="Times New Roman" w:cs="Times New Roman"/>
          <w:sz w:val="24"/>
          <w:szCs w:val="24"/>
          <w:lang w:eastAsia="fr-FR"/>
        </w:rPr>
        <w:t>cyhalothrine</w:t>
      </w:r>
      <w:proofErr w:type="spellEnd"/>
      <w:r w:rsidR="00F52877" w:rsidRPr="007379F1">
        <w:rPr>
          <w:rFonts w:ascii="Times New Roman" w:eastAsia="Times New Roman" w:hAnsi="Times New Roman" w:cs="Times New Roman"/>
          <w:sz w:val="24"/>
          <w:szCs w:val="24"/>
          <w:lang w:eastAsia="fr-FR"/>
        </w:rPr>
        <w:t xml:space="preserve"> sont</w:t>
      </w:r>
      <w:r w:rsidR="00DB0D57" w:rsidRPr="007379F1">
        <w:rPr>
          <w:rFonts w:ascii="Times New Roman" w:eastAsia="Times New Roman" w:hAnsi="Times New Roman" w:cs="Times New Roman"/>
          <w:sz w:val="24"/>
          <w:szCs w:val="24"/>
          <w:lang w:eastAsia="fr-FR"/>
        </w:rPr>
        <w:t xml:space="preserve"> les matières active</w:t>
      </w:r>
      <w:r w:rsidR="00330A10">
        <w:rPr>
          <w:rFonts w:ascii="Times New Roman" w:eastAsia="Times New Roman" w:hAnsi="Times New Roman" w:cs="Times New Roman"/>
          <w:sz w:val="24"/>
          <w:szCs w:val="24"/>
          <w:lang w:eastAsia="fr-FR"/>
        </w:rPr>
        <w:t>s</w:t>
      </w:r>
      <w:r w:rsidR="00E80B3C">
        <w:rPr>
          <w:rFonts w:ascii="Times New Roman" w:eastAsia="Times New Roman" w:hAnsi="Times New Roman" w:cs="Times New Roman"/>
          <w:sz w:val="24"/>
          <w:szCs w:val="24"/>
          <w:lang w:eastAsia="fr-FR"/>
        </w:rPr>
        <w:t xml:space="preserve"> (</w:t>
      </w:r>
      <w:proofErr w:type="spellStart"/>
      <w:r w:rsidR="00E80B3C">
        <w:rPr>
          <w:rFonts w:ascii="Times New Roman" w:eastAsia="Times New Roman" w:hAnsi="Times New Roman" w:cs="Times New Roman"/>
          <w:sz w:val="24"/>
          <w:szCs w:val="24"/>
          <w:lang w:eastAsia="fr-FR"/>
        </w:rPr>
        <w:t>m.a</w:t>
      </w:r>
      <w:proofErr w:type="spellEnd"/>
      <w:r w:rsidR="00E80B3C">
        <w:rPr>
          <w:rFonts w:ascii="Times New Roman" w:eastAsia="Times New Roman" w:hAnsi="Times New Roman" w:cs="Times New Roman"/>
          <w:sz w:val="24"/>
          <w:szCs w:val="24"/>
          <w:lang w:eastAsia="fr-FR"/>
        </w:rPr>
        <w:t>.)</w:t>
      </w:r>
      <w:r w:rsidR="00DB0D57" w:rsidRPr="007379F1">
        <w:rPr>
          <w:rFonts w:ascii="Times New Roman" w:eastAsia="Times New Roman" w:hAnsi="Times New Roman" w:cs="Times New Roman"/>
          <w:sz w:val="24"/>
          <w:szCs w:val="24"/>
          <w:lang w:eastAsia="fr-FR"/>
        </w:rPr>
        <w:t xml:space="preserve"> </w:t>
      </w:r>
      <w:r w:rsidR="00F52877" w:rsidRPr="007379F1">
        <w:rPr>
          <w:rFonts w:ascii="Times New Roman" w:eastAsia="Times New Roman" w:hAnsi="Times New Roman" w:cs="Times New Roman"/>
          <w:sz w:val="24"/>
          <w:szCs w:val="24"/>
          <w:lang w:eastAsia="fr-FR"/>
        </w:rPr>
        <w:t>fréquemment rencontrées</w:t>
      </w:r>
      <w:r w:rsidR="00DB0D57" w:rsidRPr="007379F1">
        <w:rPr>
          <w:rFonts w:ascii="Times New Roman" w:eastAsia="Times New Roman" w:hAnsi="Times New Roman" w:cs="Times New Roman"/>
          <w:sz w:val="24"/>
          <w:szCs w:val="24"/>
          <w:lang w:eastAsia="fr-FR"/>
        </w:rPr>
        <w:t xml:space="preserve"> (respectivement, 38% ; 31% et 31%</w:t>
      </w:r>
      <w:r w:rsidR="00E80B3C">
        <w:rPr>
          <w:rFonts w:ascii="Times New Roman" w:eastAsia="Times New Roman" w:hAnsi="Times New Roman" w:cs="Times New Roman"/>
          <w:sz w:val="24"/>
          <w:szCs w:val="24"/>
          <w:lang w:eastAsia="fr-FR"/>
        </w:rPr>
        <w:t xml:space="preserve"> de l’ensemble des </w:t>
      </w:r>
      <w:proofErr w:type="spellStart"/>
      <w:r w:rsidR="00E80B3C">
        <w:rPr>
          <w:rFonts w:ascii="Times New Roman" w:eastAsia="Times New Roman" w:hAnsi="Times New Roman" w:cs="Times New Roman"/>
          <w:sz w:val="24"/>
          <w:szCs w:val="24"/>
          <w:lang w:eastAsia="fr-FR"/>
        </w:rPr>
        <w:t>m.a</w:t>
      </w:r>
      <w:proofErr w:type="spellEnd"/>
      <w:r w:rsidR="00E80B3C">
        <w:rPr>
          <w:rFonts w:ascii="Times New Roman" w:eastAsia="Times New Roman" w:hAnsi="Times New Roman" w:cs="Times New Roman"/>
          <w:sz w:val="24"/>
          <w:szCs w:val="24"/>
          <w:lang w:eastAsia="fr-FR"/>
        </w:rPr>
        <w:t>. rencontrées</w:t>
      </w:r>
      <w:r w:rsidR="00DB0D57" w:rsidRPr="007379F1">
        <w:rPr>
          <w:rFonts w:ascii="Times New Roman" w:eastAsia="Times New Roman" w:hAnsi="Times New Roman" w:cs="Times New Roman"/>
          <w:sz w:val="24"/>
          <w:szCs w:val="24"/>
          <w:lang w:eastAsia="fr-FR"/>
        </w:rPr>
        <w:t>)</w:t>
      </w:r>
      <w:r w:rsidR="00F52877" w:rsidRPr="007379F1">
        <w:rPr>
          <w:rFonts w:ascii="Times New Roman" w:eastAsia="Times New Roman" w:hAnsi="Times New Roman" w:cs="Times New Roman"/>
          <w:sz w:val="24"/>
          <w:szCs w:val="24"/>
          <w:lang w:eastAsia="fr-FR"/>
        </w:rPr>
        <w:t xml:space="preserve"> dans les exploitations. </w:t>
      </w:r>
      <w:r w:rsidR="00DB0D57" w:rsidRPr="007379F1">
        <w:rPr>
          <w:rFonts w:ascii="Times New Roman" w:eastAsia="Times New Roman" w:hAnsi="Times New Roman" w:cs="Times New Roman"/>
          <w:sz w:val="24"/>
          <w:szCs w:val="24"/>
          <w:lang w:eastAsia="fr-FR"/>
        </w:rPr>
        <w:t>L</w:t>
      </w:r>
      <w:r w:rsidR="00F52877" w:rsidRPr="007379F1">
        <w:rPr>
          <w:rFonts w:ascii="Times New Roman" w:eastAsia="Times New Roman" w:hAnsi="Times New Roman" w:cs="Times New Roman"/>
          <w:sz w:val="24"/>
          <w:szCs w:val="24"/>
          <w:lang w:eastAsia="fr-FR"/>
        </w:rPr>
        <w:t>’</w:t>
      </w:r>
      <w:proofErr w:type="spellStart"/>
      <w:r w:rsidR="00F52877" w:rsidRPr="007379F1">
        <w:rPr>
          <w:rFonts w:ascii="Times New Roman" w:eastAsia="Times New Roman" w:hAnsi="Times New Roman" w:cs="Times New Roman"/>
          <w:sz w:val="24"/>
          <w:szCs w:val="24"/>
          <w:lang w:eastAsia="fr-FR"/>
        </w:rPr>
        <w:t>ab</w:t>
      </w:r>
      <w:r w:rsidR="00E72241">
        <w:rPr>
          <w:rFonts w:ascii="Times New Roman" w:eastAsia="Times New Roman" w:hAnsi="Times New Roman" w:cs="Times New Roman"/>
          <w:sz w:val="24"/>
          <w:szCs w:val="24"/>
          <w:lang w:eastAsia="fr-FR"/>
        </w:rPr>
        <w:t>amectine</w:t>
      </w:r>
      <w:proofErr w:type="spellEnd"/>
      <w:r w:rsidR="00E72241">
        <w:rPr>
          <w:rFonts w:ascii="Times New Roman" w:eastAsia="Times New Roman" w:hAnsi="Times New Roman" w:cs="Times New Roman"/>
          <w:sz w:val="24"/>
          <w:szCs w:val="24"/>
          <w:lang w:eastAsia="fr-FR"/>
        </w:rPr>
        <w:t>, l’</w:t>
      </w:r>
      <w:proofErr w:type="spellStart"/>
      <w:r w:rsidR="00E72241">
        <w:rPr>
          <w:rFonts w:ascii="Times New Roman" w:eastAsia="Times New Roman" w:hAnsi="Times New Roman" w:cs="Times New Roman"/>
          <w:sz w:val="24"/>
          <w:szCs w:val="24"/>
          <w:lang w:eastAsia="fr-FR"/>
        </w:rPr>
        <w:t>emamectine</w:t>
      </w:r>
      <w:proofErr w:type="spellEnd"/>
      <w:r w:rsidR="00E72241">
        <w:rPr>
          <w:rFonts w:ascii="Times New Roman" w:eastAsia="Times New Roman" w:hAnsi="Times New Roman" w:cs="Times New Roman"/>
          <w:sz w:val="24"/>
          <w:szCs w:val="24"/>
          <w:lang w:eastAsia="fr-FR"/>
        </w:rPr>
        <w:t>-benzoate et</w:t>
      </w:r>
      <w:r w:rsidR="00F52877" w:rsidRPr="007379F1">
        <w:rPr>
          <w:rFonts w:ascii="Times New Roman" w:eastAsia="Times New Roman" w:hAnsi="Times New Roman" w:cs="Times New Roman"/>
          <w:sz w:val="24"/>
          <w:szCs w:val="24"/>
          <w:lang w:eastAsia="fr-FR"/>
        </w:rPr>
        <w:t xml:space="preserve"> le </w:t>
      </w:r>
      <w:proofErr w:type="spellStart"/>
      <w:r w:rsidR="00F52877" w:rsidRPr="007379F1">
        <w:rPr>
          <w:rFonts w:ascii="Times New Roman" w:eastAsia="Times New Roman" w:hAnsi="Times New Roman" w:cs="Times New Roman"/>
          <w:sz w:val="24"/>
          <w:szCs w:val="24"/>
          <w:lang w:eastAsia="fr-FR"/>
        </w:rPr>
        <w:t>profenophos</w:t>
      </w:r>
      <w:proofErr w:type="spellEnd"/>
      <w:r w:rsidR="00F52877" w:rsidRPr="007379F1">
        <w:rPr>
          <w:rFonts w:ascii="Times New Roman" w:eastAsia="Times New Roman" w:hAnsi="Times New Roman" w:cs="Times New Roman"/>
          <w:sz w:val="24"/>
          <w:szCs w:val="24"/>
          <w:lang w:eastAsia="fr-FR"/>
        </w:rPr>
        <w:t xml:space="preserve"> </w:t>
      </w:r>
      <w:r w:rsidR="00DB0D57" w:rsidRPr="007379F1">
        <w:rPr>
          <w:rFonts w:ascii="Times New Roman" w:eastAsia="Times New Roman" w:hAnsi="Times New Roman" w:cs="Times New Roman"/>
          <w:sz w:val="24"/>
          <w:szCs w:val="24"/>
          <w:lang w:eastAsia="fr-FR"/>
        </w:rPr>
        <w:t>sont tous</w:t>
      </w:r>
      <w:r w:rsidR="00706064">
        <w:rPr>
          <w:rFonts w:ascii="Times New Roman" w:eastAsia="Times New Roman" w:hAnsi="Times New Roman" w:cs="Times New Roman"/>
          <w:sz w:val="24"/>
          <w:szCs w:val="24"/>
          <w:lang w:eastAsia="fr-FR"/>
        </w:rPr>
        <w:t xml:space="preserve"> des matières actives</w:t>
      </w:r>
      <w:r w:rsidR="00DB0D57" w:rsidRPr="007379F1">
        <w:rPr>
          <w:rFonts w:ascii="Times New Roman" w:eastAsia="Times New Roman" w:hAnsi="Times New Roman" w:cs="Times New Roman"/>
          <w:sz w:val="24"/>
          <w:szCs w:val="24"/>
          <w:lang w:eastAsia="fr-FR"/>
        </w:rPr>
        <w:t xml:space="preserve"> présent à</w:t>
      </w:r>
      <w:r w:rsidR="00AB070D" w:rsidRPr="007379F1">
        <w:rPr>
          <w:rFonts w:ascii="Times New Roman" w:eastAsia="Times New Roman" w:hAnsi="Times New Roman" w:cs="Times New Roman"/>
          <w:sz w:val="24"/>
          <w:szCs w:val="24"/>
          <w:lang w:eastAsia="fr-FR"/>
        </w:rPr>
        <w:t xml:space="preserve"> une fréq</w:t>
      </w:r>
      <w:r w:rsidR="00270455">
        <w:rPr>
          <w:rFonts w:ascii="Times New Roman" w:eastAsia="Times New Roman" w:hAnsi="Times New Roman" w:cs="Times New Roman"/>
          <w:sz w:val="24"/>
          <w:szCs w:val="24"/>
          <w:lang w:eastAsia="fr-FR"/>
        </w:rPr>
        <w:t>u</w:t>
      </w:r>
      <w:r w:rsidR="00AB070D" w:rsidRPr="007379F1">
        <w:rPr>
          <w:rFonts w:ascii="Times New Roman" w:eastAsia="Times New Roman" w:hAnsi="Times New Roman" w:cs="Times New Roman"/>
          <w:sz w:val="24"/>
          <w:szCs w:val="24"/>
          <w:lang w:eastAsia="fr-FR"/>
        </w:rPr>
        <w:t xml:space="preserve">ence de 13%. On y rencontre également </w:t>
      </w:r>
      <w:r w:rsidR="00F52877" w:rsidRPr="007379F1">
        <w:rPr>
          <w:rFonts w:ascii="Times New Roman" w:eastAsia="Times New Roman" w:hAnsi="Times New Roman" w:cs="Times New Roman"/>
          <w:sz w:val="24"/>
          <w:szCs w:val="24"/>
          <w:lang w:eastAsia="fr-FR"/>
        </w:rPr>
        <w:t xml:space="preserve">l’imidaclopride, </w:t>
      </w:r>
      <w:r w:rsidR="00AB070D" w:rsidRPr="007379F1">
        <w:rPr>
          <w:rFonts w:ascii="Times New Roman" w:eastAsia="Times New Roman" w:hAnsi="Times New Roman" w:cs="Times New Roman"/>
          <w:sz w:val="24"/>
          <w:szCs w:val="24"/>
          <w:lang w:eastAsia="fr-FR"/>
        </w:rPr>
        <w:t xml:space="preserve">le </w:t>
      </w:r>
      <w:proofErr w:type="spellStart"/>
      <w:r w:rsidR="00F52877" w:rsidRPr="00270455">
        <w:rPr>
          <w:rFonts w:ascii="Times New Roman" w:eastAsia="Times New Roman" w:hAnsi="Times New Roman" w:cs="Times New Roman"/>
          <w:i/>
          <w:sz w:val="24"/>
          <w:szCs w:val="24"/>
          <w:lang w:eastAsia="fr-FR"/>
        </w:rPr>
        <w:t>bacillus</w:t>
      </w:r>
      <w:proofErr w:type="spellEnd"/>
      <w:r w:rsidR="00F52877" w:rsidRPr="00270455">
        <w:rPr>
          <w:rFonts w:ascii="Times New Roman" w:eastAsia="Times New Roman" w:hAnsi="Times New Roman" w:cs="Times New Roman"/>
          <w:i/>
          <w:sz w:val="24"/>
          <w:szCs w:val="24"/>
          <w:lang w:eastAsia="fr-FR"/>
        </w:rPr>
        <w:t xml:space="preserve"> </w:t>
      </w:r>
      <w:proofErr w:type="spellStart"/>
      <w:r w:rsidR="00F52877" w:rsidRPr="00270455">
        <w:rPr>
          <w:rFonts w:ascii="Times New Roman" w:eastAsia="Times New Roman" w:hAnsi="Times New Roman" w:cs="Times New Roman"/>
          <w:i/>
          <w:sz w:val="24"/>
          <w:szCs w:val="24"/>
          <w:lang w:eastAsia="fr-FR"/>
        </w:rPr>
        <w:t>thuringiensis</w:t>
      </w:r>
      <w:proofErr w:type="spellEnd"/>
      <w:r w:rsidR="00F52877" w:rsidRPr="007379F1">
        <w:rPr>
          <w:rFonts w:ascii="Times New Roman" w:eastAsia="Times New Roman" w:hAnsi="Times New Roman" w:cs="Times New Roman"/>
          <w:sz w:val="24"/>
          <w:szCs w:val="24"/>
          <w:lang w:eastAsia="fr-FR"/>
        </w:rPr>
        <w:t xml:space="preserve">, </w:t>
      </w:r>
      <w:r w:rsidR="00AB070D" w:rsidRPr="007379F1">
        <w:rPr>
          <w:rFonts w:ascii="Times New Roman" w:eastAsia="Times New Roman" w:hAnsi="Times New Roman" w:cs="Times New Roman"/>
          <w:sz w:val="24"/>
          <w:szCs w:val="24"/>
          <w:lang w:eastAsia="fr-FR"/>
        </w:rPr>
        <w:t xml:space="preserve">la </w:t>
      </w:r>
      <w:proofErr w:type="spellStart"/>
      <w:r w:rsidR="00F52877" w:rsidRPr="007379F1">
        <w:rPr>
          <w:rFonts w:ascii="Times New Roman" w:eastAsia="Times New Roman" w:hAnsi="Times New Roman" w:cs="Times New Roman"/>
          <w:sz w:val="24"/>
          <w:szCs w:val="24"/>
          <w:lang w:eastAsia="fr-FR"/>
        </w:rPr>
        <w:t>deltaméthrine</w:t>
      </w:r>
      <w:proofErr w:type="spellEnd"/>
      <w:r w:rsidR="00F52877" w:rsidRPr="007379F1">
        <w:rPr>
          <w:rFonts w:ascii="Times New Roman" w:eastAsia="Times New Roman" w:hAnsi="Times New Roman" w:cs="Times New Roman"/>
          <w:sz w:val="24"/>
          <w:szCs w:val="24"/>
          <w:lang w:eastAsia="fr-FR"/>
        </w:rPr>
        <w:t xml:space="preserve">, </w:t>
      </w:r>
      <w:r w:rsidR="00AB070D" w:rsidRPr="007379F1">
        <w:rPr>
          <w:rFonts w:ascii="Times New Roman" w:eastAsia="Times New Roman" w:hAnsi="Times New Roman" w:cs="Times New Roman"/>
          <w:sz w:val="24"/>
          <w:szCs w:val="24"/>
          <w:lang w:eastAsia="fr-FR"/>
        </w:rPr>
        <w:t xml:space="preserve">le </w:t>
      </w:r>
      <w:proofErr w:type="spellStart"/>
      <w:r w:rsidR="00F52877" w:rsidRPr="007379F1">
        <w:rPr>
          <w:rFonts w:ascii="Times New Roman" w:eastAsia="Times New Roman" w:hAnsi="Times New Roman" w:cs="Times New Roman"/>
          <w:sz w:val="24"/>
          <w:szCs w:val="24"/>
          <w:lang w:eastAsia="fr-FR"/>
        </w:rPr>
        <w:t>chlorpyriphos</w:t>
      </w:r>
      <w:proofErr w:type="spellEnd"/>
      <w:r w:rsidR="00F52877" w:rsidRPr="007379F1">
        <w:rPr>
          <w:rFonts w:ascii="Times New Roman" w:eastAsia="Times New Roman" w:hAnsi="Times New Roman" w:cs="Times New Roman"/>
          <w:sz w:val="24"/>
          <w:szCs w:val="24"/>
          <w:lang w:eastAsia="fr-FR"/>
        </w:rPr>
        <w:t xml:space="preserve">, </w:t>
      </w:r>
      <w:r w:rsidR="00AB070D" w:rsidRPr="007379F1">
        <w:rPr>
          <w:rFonts w:ascii="Times New Roman" w:eastAsia="Times New Roman" w:hAnsi="Times New Roman" w:cs="Times New Roman"/>
          <w:sz w:val="24"/>
          <w:szCs w:val="24"/>
          <w:lang w:eastAsia="fr-FR"/>
        </w:rPr>
        <w:t xml:space="preserve">le </w:t>
      </w:r>
      <w:proofErr w:type="spellStart"/>
      <w:r w:rsidR="00F52877" w:rsidRPr="007379F1">
        <w:rPr>
          <w:rFonts w:ascii="Times New Roman" w:eastAsia="Times New Roman" w:hAnsi="Times New Roman" w:cs="Times New Roman"/>
          <w:sz w:val="24"/>
          <w:szCs w:val="24"/>
          <w:lang w:eastAsia="fr-FR"/>
        </w:rPr>
        <w:t>carbofuran</w:t>
      </w:r>
      <w:proofErr w:type="spellEnd"/>
      <w:r w:rsidR="00F52877" w:rsidRPr="007379F1">
        <w:rPr>
          <w:rFonts w:ascii="Times New Roman" w:eastAsia="Times New Roman" w:hAnsi="Times New Roman" w:cs="Times New Roman"/>
          <w:sz w:val="24"/>
          <w:szCs w:val="24"/>
          <w:lang w:eastAsia="fr-FR"/>
        </w:rPr>
        <w:t xml:space="preserve">, </w:t>
      </w:r>
      <w:r w:rsidR="00AB070D" w:rsidRPr="007379F1">
        <w:rPr>
          <w:rFonts w:ascii="Times New Roman" w:eastAsia="Times New Roman" w:hAnsi="Times New Roman" w:cs="Times New Roman"/>
          <w:sz w:val="24"/>
          <w:szCs w:val="24"/>
          <w:lang w:eastAsia="fr-FR"/>
        </w:rPr>
        <w:t xml:space="preserve">le </w:t>
      </w:r>
      <w:proofErr w:type="spellStart"/>
      <w:r w:rsidR="00F52877" w:rsidRPr="007379F1">
        <w:rPr>
          <w:rFonts w:ascii="Times New Roman" w:eastAsia="Times New Roman" w:hAnsi="Times New Roman" w:cs="Times New Roman"/>
          <w:sz w:val="24"/>
          <w:szCs w:val="24"/>
          <w:lang w:eastAsia="fr-FR"/>
        </w:rPr>
        <w:t>paraquat</w:t>
      </w:r>
      <w:proofErr w:type="spellEnd"/>
      <w:r w:rsidR="00F52877" w:rsidRPr="007379F1">
        <w:rPr>
          <w:rFonts w:ascii="Times New Roman" w:eastAsia="Times New Roman" w:hAnsi="Times New Roman" w:cs="Times New Roman"/>
          <w:sz w:val="24"/>
          <w:szCs w:val="24"/>
          <w:lang w:eastAsia="fr-FR"/>
        </w:rPr>
        <w:t xml:space="preserve"> </w:t>
      </w:r>
      <w:proofErr w:type="spellStart"/>
      <w:r w:rsidR="00F52877" w:rsidRPr="007379F1">
        <w:rPr>
          <w:rFonts w:ascii="Times New Roman" w:eastAsia="Times New Roman" w:hAnsi="Times New Roman" w:cs="Times New Roman"/>
          <w:sz w:val="24"/>
          <w:szCs w:val="24"/>
          <w:lang w:eastAsia="fr-FR"/>
        </w:rPr>
        <w:t>chloride</w:t>
      </w:r>
      <w:proofErr w:type="spellEnd"/>
      <w:r w:rsidR="00F52877" w:rsidRPr="007379F1">
        <w:rPr>
          <w:rFonts w:ascii="Times New Roman" w:eastAsia="Times New Roman" w:hAnsi="Times New Roman" w:cs="Times New Roman"/>
          <w:sz w:val="24"/>
          <w:szCs w:val="24"/>
          <w:lang w:eastAsia="fr-FR"/>
        </w:rPr>
        <w:t xml:space="preserve">, </w:t>
      </w:r>
      <w:r w:rsidR="00AB070D" w:rsidRPr="007379F1">
        <w:rPr>
          <w:rFonts w:ascii="Times New Roman" w:eastAsia="Times New Roman" w:hAnsi="Times New Roman" w:cs="Times New Roman"/>
          <w:sz w:val="24"/>
          <w:szCs w:val="24"/>
          <w:lang w:eastAsia="fr-FR"/>
        </w:rPr>
        <w:t xml:space="preserve">le </w:t>
      </w:r>
      <w:proofErr w:type="spellStart"/>
      <w:r w:rsidR="00F52877" w:rsidRPr="007379F1">
        <w:rPr>
          <w:rFonts w:ascii="Times New Roman" w:eastAsia="Times New Roman" w:hAnsi="Times New Roman" w:cs="Times New Roman"/>
          <w:sz w:val="24"/>
          <w:szCs w:val="24"/>
          <w:lang w:eastAsia="fr-FR"/>
        </w:rPr>
        <w:t>methomyl</w:t>
      </w:r>
      <w:proofErr w:type="spellEnd"/>
      <w:r w:rsidR="00F52877" w:rsidRPr="007379F1">
        <w:rPr>
          <w:rFonts w:ascii="Times New Roman" w:eastAsia="Times New Roman" w:hAnsi="Times New Roman" w:cs="Times New Roman"/>
          <w:sz w:val="24"/>
          <w:szCs w:val="24"/>
          <w:lang w:eastAsia="fr-FR"/>
        </w:rPr>
        <w:t xml:space="preserve">, </w:t>
      </w:r>
      <w:r w:rsidR="00AB070D" w:rsidRPr="007379F1">
        <w:rPr>
          <w:rFonts w:ascii="Times New Roman" w:eastAsia="Times New Roman" w:hAnsi="Times New Roman" w:cs="Times New Roman"/>
          <w:sz w:val="24"/>
          <w:szCs w:val="24"/>
          <w:lang w:eastAsia="fr-FR"/>
        </w:rPr>
        <w:t xml:space="preserve">le </w:t>
      </w:r>
      <w:proofErr w:type="spellStart"/>
      <w:r w:rsidR="00F52877" w:rsidRPr="007379F1">
        <w:rPr>
          <w:rFonts w:ascii="Times New Roman" w:eastAsia="Times New Roman" w:hAnsi="Times New Roman" w:cs="Times New Roman"/>
          <w:sz w:val="24"/>
          <w:szCs w:val="24"/>
          <w:lang w:eastAsia="fr-FR"/>
        </w:rPr>
        <w:t>flubendiamide</w:t>
      </w:r>
      <w:proofErr w:type="spellEnd"/>
      <w:r w:rsidR="00F52877" w:rsidRPr="007379F1">
        <w:rPr>
          <w:rFonts w:ascii="Times New Roman" w:eastAsia="Times New Roman" w:hAnsi="Times New Roman" w:cs="Times New Roman"/>
          <w:sz w:val="24"/>
          <w:szCs w:val="24"/>
          <w:lang w:eastAsia="fr-FR"/>
        </w:rPr>
        <w:t xml:space="preserve"> et </w:t>
      </w:r>
      <w:r w:rsidR="00AB070D" w:rsidRPr="007379F1">
        <w:rPr>
          <w:rFonts w:ascii="Times New Roman" w:eastAsia="Times New Roman" w:hAnsi="Times New Roman" w:cs="Times New Roman"/>
          <w:sz w:val="24"/>
          <w:szCs w:val="24"/>
          <w:lang w:eastAsia="fr-FR"/>
        </w:rPr>
        <w:t xml:space="preserve">le </w:t>
      </w:r>
      <w:proofErr w:type="spellStart"/>
      <w:r w:rsidR="00F52877" w:rsidRPr="007379F1">
        <w:rPr>
          <w:rFonts w:ascii="Times New Roman" w:eastAsia="Times New Roman" w:hAnsi="Times New Roman" w:cs="Times New Roman"/>
          <w:sz w:val="24"/>
          <w:szCs w:val="24"/>
          <w:lang w:eastAsia="fr-FR"/>
        </w:rPr>
        <w:t>spirotetrami</w:t>
      </w:r>
      <w:r w:rsidR="00AB070D" w:rsidRPr="007379F1">
        <w:rPr>
          <w:rFonts w:ascii="Times New Roman" w:eastAsia="Times New Roman" w:hAnsi="Times New Roman" w:cs="Times New Roman"/>
          <w:sz w:val="24"/>
          <w:szCs w:val="24"/>
          <w:lang w:eastAsia="fr-FR"/>
        </w:rPr>
        <w:t>de</w:t>
      </w:r>
      <w:proofErr w:type="spellEnd"/>
      <w:r w:rsidR="00AB070D" w:rsidRPr="007379F1">
        <w:rPr>
          <w:rFonts w:ascii="Times New Roman" w:eastAsia="Times New Roman" w:hAnsi="Times New Roman" w:cs="Times New Roman"/>
          <w:sz w:val="24"/>
          <w:szCs w:val="24"/>
          <w:lang w:eastAsia="fr-FR"/>
        </w:rPr>
        <w:t>, mais moins fréquemment (</w:t>
      </w:r>
      <w:r w:rsidR="00F52877" w:rsidRPr="007379F1">
        <w:rPr>
          <w:rFonts w:ascii="Times New Roman" w:eastAsia="Times New Roman" w:hAnsi="Times New Roman" w:cs="Times New Roman"/>
          <w:sz w:val="24"/>
          <w:szCs w:val="24"/>
          <w:lang w:eastAsia="fr-FR"/>
        </w:rPr>
        <w:t>6%)</w:t>
      </w:r>
      <w:r w:rsidR="00270455">
        <w:rPr>
          <w:rFonts w:ascii="Times New Roman" w:eastAsia="Times New Roman" w:hAnsi="Times New Roman" w:cs="Times New Roman"/>
          <w:sz w:val="24"/>
          <w:szCs w:val="24"/>
          <w:lang w:eastAsia="fr-FR"/>
        </w:rPr>
        <w:t xml:space="preserve"> (figure 2</w:t>
      </w:r>
      <w:r w:rsidR="00270455" w:rsidRPr="00B5710E">
        <w:rPr>
          <w:rFonts w:ascii="Times New Roman" w:eastAsia="Times New Roman" w:hAnsi="Times New Roman" w:cs="Times New Roman"/>
          <w:sz w:val="24"/>
          <w:szCs w:val="24"/>
          <w:lang w:eastAsia="fr-FR"/>
        </w:rPr>
        <w:t>)</w:t>
      </w:r>
      <w:r w:rsidR="00F52877" w:rsidRPr="00B5710E">
        <w:rPr>
          <w:rFonts w:ascii="Times New Roman" w:eastAsia="Times New Roman" w:hAnsi="Times New Roman" w:cs="Times New Roman"/>
          <w:sz w:val="24"/>
          <w:szCs w:val="24"/>
          <w:lang w:eastAsia="fr-FR"/>
        </w:rPr>
        <w:t>.</w:t>
      </w:r>
      <w:r w:rsidR="00860950" w:rsidRPr="00B5710E">
        <w:rPr>
          <w:rFonts w:ascii="Times New Roman" w:eastAsia="Times New Roman" w:hAnsi="Times New Roman" w:cs="Times New Roman"/>
          <w:sz w:val="24"/>
          <w:szCs w:val="24"/>
          <w:lang w:eastAsia="fr-FR"/>
        </w:rPr>
        <w:t xml:space="preserve"> Les doses apportées</w:t>
      </w:r>
      <w:r w:rsidR="00B5710E">
        <w:rPr>
          <w:rFonts w:ascii="Times New Roman" w:eastAsia="Times New Roman" w:hAnsi="Times New Roman" w:cs="Times New Roman"/>
          <w:sz w:val="24"/>
          <w:szCs w:val="24"/>
          <w:lang w:eastAsia="fr-FR"/>
        </w:rPr>
        <w:t>,</w:t>
      </w:r>
      <w:r w:rsidR="00F552F2" w:rsidRPr="00B5710E">
        <w:rPr>
          <w:rFonts w:ascii="Times New Roman" w:eastAsia="Times New Roman" w:hAnsi="Times New Roman" w:cs="Times New Roman"/>
          <w:sz w:val="24"/>
          <w:szCs w:val="24"/>
          <w:lang w:eastAsia="fr-FR"/>
        </w:rPr>
        <w:t xml:space="preserve"> représentées par </w:t>
      </w:r>
      <w:r w:rsidR="00C80FE5" w:rsidRPr="00B5710E">
        <w:rPr>
          <w:rFonts w:ascii="Times New Roman" w:hAnsi="Times New Roman" w:cs="Times New Roman"/>
          <w:sz w:val="24"/>
          <w:szCs w:val="24"/>
        </w:rPr>
        <w:t>l’indicateur de fréquence de traitement phytosanitaire</w:t>
      </w:r>
      <w:r w:rsidR="00C80FE5" w:rsidRPr="00B5710E">
        <w:rPr>
          <w:rFonts w:ascii="Times New Roman" w:eastAsia="Times New Roman" w:hAnsi="Times New Roman" w:cs="Times New Roman"/>
          <w:sz w:val="24"/>
          <w:szCs w:val="24"/>
          <w:lang w:eastAsia="fr-FR"/>
        </w:rPr>
        <w:t xml:space="preserve"> (IFT) </w:t>
      </w:r>
      <w:r w:rsidR="00860950" w:rsidRPr="00B5710E">
        <w:rPr>
          <w:rFonts w:ascii="Times New Roman" w:eastAsia="Times New Roman" w:hAnsi="Times New Roman" w:cs="Times New Roman"/>
          <w:sz w:val="24"/>
          <w:szCs w:val="24"/>
          <w:lang w:eastAsia="fr-FR"/>
        </w:rPr>
        <w:t>sont très importantes avec</w:t>
      </w:r>
      <w:r w:rsidR="00330A10">
        <w:rPr>
          <w:rFonts w:ascii="Times New Roman" w:eastAsia="Times New Roman" w:hAnsi="Times New Roman" w:cs="Times New Roman"/>
          <w:sz w:val="24"/>
          <w:szCs w:val="24"/>
          <w:lang w:eastAsia="fr-FR"/>
        </w:rPr>
        <w:t xml:space="preserve"> une moyenne de 51,</w:t>
      </w:r>
      <w:r w:rsidR="00C80FE5" w:rsidRPr="00B5710E">
        <w:rPr>
          <w:rFonts w:ascii="Times New Roman" w:eastAsia="Times New Roman" w:hAnsi="Times New Roman" w:cs="Times New Roman"/>
          <w:sz w:val="24"/>
          <w:szCs w:val="24"/>
          <w:lang w:eastAsia="fr-FR"/>
        </w:rPr>
        <w:t>55 par producteur. Cela voudrait dire que les producteurs apportent en moyenne 51 fois la dose de pesticide recommandée. On note pa</w:t>
      </w:r>
      <w:r w:rsidR="00154BBF" w:rsidRPr="00B5710E">
        <w:rPr>
          <w:rFonts w:ascii="Times New Roman" w:eastAsia="Times New Roman" w:hAnsi="Times New Roman" w:cs="Times New Roman"/>
          <w:sz w:val="24"/>
          <w:szCs w:val="24"/>
          <w:lang w:eastAsia="fr-FR"/>
        </w:rPr>
        <w:t>r ailleurs une très forte variation de l’</w:t>
      </w:r>
      <w:r w:rsidR="00B5710E" w:rsidRPr="00B5710E">
        <w:rPr>
          <w:rFonts w:ascii="Times New Roman" w:eastAsia="Times New Roman" w:hAnsi="Times New Roman" w:cs="Times New Roman"/>
          <w:sz w:val="24"/>
          <w:szCs w:val="24"/>
          <w:lang w:eastAsia="fr-FR"/>
        </w:rPr>
        <w:t>IFT (</w:t>
      </w:r>
      <w:r w:rsidR="00C80FE5" w:rsidRPr="00B5710E">
        <w:rPr>
          <w:rFonts w:ascii="Times New Roman" w:eastAsia="Times New Roman" w:hAnsi="Times New Roman" w:cs="Times New Roman"/>
          <w:sz w:val="24"/>
          <w:szCs w:val="24"/>
          <w:lang w:eastAsia="fr-FR"/>
        </w:rPr>
        <w:t>2 à 147 IFT</w:t>
      </w:r>
      <w:r w:rsidR="00154BBF" w:rsidRPr="00B5710E">
        <w:rPr>
          <w:rFonts w:ascii="Times New Roman" w:eastAsia="Times New Roman" w:hAnsi="Times New Roman" w:cs="Times New Roman"/>
          <w:sz w:val="24"/>
          <w:szCs w:val="24"/>
          <w:lang w:eastAsia="fr-FR"/>
        </w:rPr>
        <w:t>)</w:t>
      </w:r>
      <w:r w:rsidR="00C80FE5" w:rsidRPr="00B5710E">
        <w:rPr>
          <w:rFonts w:ascii="Times New Roman" w:eastAsia="Times New Roman" w:hAnsi="Times New Roman" w:cs="Times New Roman"/>
          <w:sz w:val="24"/>
          <w:szCs w:val="24"/>
          <w:lang w:eastAsia="fr-FR"/>
        </w:rPr>
        <w:t xml:space="preserve"> </w:t>
      </w:r>
      <w:r w:rsidR="00154BBF" w:rsidRPr="00B5710E">
        <w:rPr>
          <w:rFonts w:ascii="Times New Roman" w:eastAsia="Times New Roman" w:hAnsi="Times New Roman" w:cs="Times New Roman"/>
          <w:sz w:val="24"/>
          <w:szCs w:val="24"/>
          <w:lang w:eastAsia="fr-FR"/>
        </w:rPr>
        <w:t>d’une exploitation à l’autre</w:t>
      </w:r>
      <w:r w:rsidR="00C80FE5" w:rsidRPr="00B5710E">
        <w:rPr>
          <w:rFonts w:ascii="Times New Roman" w:eastAsia="Times New Roman" w:hAnsi="Times New Roman" w:cs="Times New Roman"/>
          <w:sz w:val="24"/>
          <w:szCs w:val="24"/>
          <w:lang w:eastAsia="fr-FR"/>
        </w:rPr>
        <w:t>.</w:t>
      </w:r>
    </w:p>
    <w:p w14:paraId="3A246351" w14:textId="77777777" w:rsidR="00685F73" w:rsidRPr="00685F73" w:rsidRDefault="00685F73" w:rsidP="00685F73">
      <w:pPr>
        <w:spacing w:line="240" w:lineRule="auto"/>
        <w:jc w:val="center"/>
        <w:rPr>
          <w:rFonts w:eastAsia="Times New Roman"/>
          <w:sz w:val="20"/>
          <w:szCs w:val="20"/>
          <w:lang w:eastAsia="fr-FR"/>
        </w:rPr>
      </w:pPr>
      <w:r w:rsidRPr="00685F73">
        <w:rPr>
          <w:noProof/>
          <w:sz w:val="20"/>
          <w:szCs w:val="20"/>
          <w:lang w:eastAsia="fr-FR"/>
        </w:rPr>
        <w:drawing>
          <wp:inline distT="0" distB="0" distL="0" distR="0" wp14:anchorId="085EF205" wp14:editId="3D77501B">
            <wp:extent cx="4754880" cy="2948940"/>
            <wp:effectExtent l="0" t="0" r="762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54880" cy="2948940"/>
                    </a:xfrm>
                    <a:prstGeom prst="rect">
                      <a:avLst/>
                    </a:prstGeom>
                    <a:noFill/>
                    <a:ln>
                      <a:noFill/>
                    </a:ln>
                  </pic:spPr>
                </pic:pic>
              </a:graphicData>
            </a:graphic>
          </wp:inline>
        </w:drawing>
      </w:r>
    </w:p>
    <w:p w14:paraId="2102ED86" w14:textId="77777777" w:rsidR="00685F73" w:rsidRPr="00685F73" w:rsidRDefault="00685F73" w:rsidP="00685F73">
      <w:pPr>
        <w:pStyle w:val="Lgende"/>
        <w:ind w:left="709"/>
        <w:jc w:val="both"/>
        <w:rPr>
          <w:rFonts w:eastAsia="Times New Roman"/>
          <w:i w:val="0"/>
          <w:color w:val="auto"/>
          <w:sz w:val="20"/>
          <w:szCs w:val="20"/>
          <w:lang w:eastAsia="fr-FR"/>
        </w:rPr>
      </w:pPr>
      <w:bookmarkStart w:id="1" w:name="_Toc486628814"/>
      <w:r w:rsidRPr="00685F73">
        <w:rPr>
          <w:b/>
          <w:i w:val="0"/>
          <w:color w:val="auto"/>
          <w:sz w:val="20"/>
          <w:szCs w:val="20"/>
        </w:rPr>
        <w:t>Figure 2 </w:t>
      </w:r>
      <w:r w:rsidRPr="00685F73">
        <w:rPr>
          <w:i w:val="0"/>
          <w:color w:val="auto"/>
          <w:sz w:val="20"/>
          <w:szCs w:val="20"/>
        </w:rPr>
        <w:t>:</w:t>
      </w:r>
      <w:r w:rsidRPr="00685F73">
        <w:rPr>
          <w:rFonts w:eastAsia="Times New Roman"/>
          <w:i w:val="0"/>
          <w:color w:val="auto"/>
          <w:sz w:val="20"/>
          <w:szCs w:val="20"/>
          <w:lang w:eastAsia="fr-FR"/>
        </w:rPr>
        <w:t xml:space="preserve"> Différentes matières actives utilisées sur le site maraîcher de </w:t>
      </w:r>
      <w:proofErr w:type="spellStart"/>
      <w:r w:rsidRPr="00685F73">
        <w:rPr>
          <w:rFonts w:eastAsia="Times New Roman"/>
          <w:i w:val="0"/>
          <w:color w:val="auto"/>
          <w:sz w:val="20"/>
          <w:szCs w:val="20"/>
          <w:lang w:eastAsia="fr-FR"/>
        </w:rPr>
        <w:t>Sakaby-Dogona</w:t>
      </w:r>
      <w:bookmarkEnd w:id="1"/>
      <w:proofErr w:type="spellEnd"/>
    </w:p>
    <w:p w14:paraId="4B0FBB6B" w14:textId="0007D635" w:rsidR="004D190B" w:rsidRPr="00223396" w:rsidRDefault="00EB7D2E" w:rsidP="00CD5AEC">
      <w:pPr>
        <w:pStyle w:val="Titre3"/>
        <w:spacing w:after="120" w:line="240" w:lineRule="auto"/>
        <w:jc w:val="both"/>
        <w:rPr>
          <w:rFonts w:ascii="Times New Roman" w:hAnsi="Times New Roman" w:cs="Times New Roman"/>
          <w:b/>
          <w:color w:val="auto"/>
        </w:rPr>
      </w:pPr>
      <w:bookmarkStart w:id="2" w:name="_Toc486628787"/>
      <w:r>
        <w:rPr>
          <w:rFonts w:ascii="Times New Roman" w:hAnsi="Times New Roman" w:cs="Times New Roman"/>
          <w:b/>
          <w:color w:val="auto"/>
        </w:rPr>
        <w:lastRenderedPageBreak/>
        <w:t>2</w:t>
      </w:r>
      <w:r w:rsidR="00992968">
        <w:rPr>
          <w:rFonts w:ascii="Times New Roman" w:hAnsi="Times New Roman" w:cs="Times New Roman"/>
          <w:b/>
          <w:color w:val="auto"/>
        </w:rPr>
        <w:t>.3</w:t>
      </w:r>
      <w:r w:rsidR="004D190B" w:rsidRPr="00223396">
        <w:rPr>
          <w:rFonts w:ascii="Times New Roman" w:hAnsi="Times New Roman" w:cs="Times New Roman"/>
          <w:b/>
          <w:color w:val="auto"/>
        </w:rPr>
        <w:t xml:space="preserve"> Points de Risques</w:t>
      </w:r>
      <w:r w:rsidR="000E6B4A">
        <w:rPr>
          <w:rFonts w:ascii="Times New Roman" w:hAnsi="Times New Roman" w:cs="Times New Roman"/>
          <w:b/>
          <w:color w:val="auto"/>
        </w:rPr>
        <w:t xml:space="preserve"> de toxicité lié à l’utilisation des pesticides par </w:t>
      </w:r>
      <w:bookmarkEnd w:id="2"/>
      <w:r w:rsidR="005418B6">
        <w:rPr>
          <w:rFonts w:ascii="Times New Roman" w:hAnsi="Times New Roman" w:cs="Times New Roman"/>
          <w:b/>
          <w:color w:val="auto"/>
        </w:rPr>
        <w:t>spéculation</w:t>
      </w:r>
    </w:p>
    <w:p w14:paraId="3595DE86" w14:textId="051DA855" w:rsidR="004D190B" w:rsidRDefault="00E72241" w:rsidP="00CD5AEC">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La figure </w:t>
      </w:r>
      <w:r w:rsidR="004D190B" w:rsidRPr="000E6B4A">
        <w:rPr>
          <w:rFonts w:ascii="Times New Roman" w:hAnsi="Times New Roman" w:cs="Times New Roman"/>
          <w:sz w:val="24"/>
          <w:szCs w:val="24"/>
        </w:rPr>
        <w:t>3 donne les points de risques</w:t>
      </w:r>
      <w:r w:rsidR="000E6B4A">
        <w:rPr>
          <w:rFonts w:ascii="Times New Roman" w:hAnsi="Times New Roman" w:cs="Times New Roman"/>
          <w:sz w:val="24"/>
          <w:szCs w:val="24"/>
        </w:rPr>
        <w:t xml:space="preserve"> de toxicité </w:t>
      </w:r>
      <w:r w:rsidR="00D11272">
        <w:rPr>
          <w:rFonts w:ascii="Times New Roman" w:hAnsi="Times New Roman" w:cs="Times New Roman"/>
          <w:sz w:val="24"/>
          <w:szCs w:val="24"/>
        </w:rPr>
        <w:t xml:space="preserve">(RP) </w:t>
      </w:r>
      <w:r w:rsidR="000E6B4A">
        <w:rPr>
          <w:rFonts w:ascii="Times New Roman" w:hAnsi="Times New Roman" w:cs="Times New Roman"/>
          <w:sz w:val="24"/>
          <w:szCs w:val="24"/>
        </w:rPr>
        <w:t xml:space="preserve">liés à l’utilisation des pesticides </w:t>
      </w:r>
      <w:r w:rsidR="000E6B4A" w:rsidRPr="000E6B4A">
        <w:rPr>
          <w:rFonts w:ascii="Times New Roman" w:hAnsi="Times New Roman" w:cs="Times New Roman"/>
          <w:sz w:val="24"/>
          <w:szCs w:val="24"/>
        </w:rPr>
        <w:t>en foncti</w:t>
      </w:r>
      <w:r w:rsidR="000E6B4A">
        <w:rPr>
          <w:rFonts w:ascii="Times New Roman" w:hAnsi="Times New Roman" w:cs="Times New Roman"/>
          <w:sz w:val="24"/>
          <w:szCs w:val="24"/>
        </w:rPr>
        <w:t xml:space="preserve">on des principales spéculations au niveau </w:t>
      </w:r>
      <w:r w:rsidR="004D190B" w:rsidRPr="000E6B4A">
        <w:rPr>
          <w:rFonts w:ascii="Times New Roman" w:hAnsi="Times New Roman" w:cs="Times New Roman"/>
          <w:sz w:val="24"/>
          <w:szCs w:val="24"/>
        </w:rPr>
        <w:t>de chaque compartiment de l’environnement</w:t>
      </w:r>
      <w:r w:rsidR="000E6B4A">
        <w:rPr>
          <w:rFonts w:ascii="Times New Roman" w:hAnsi="Times New Roman" w:cs="Times New Roman"/>
          <w:sz w:val="24"/>
          <w:szCs w:val="24"/>
        </w:rPr>
        <w:t> : eau souterraine (</w:t>
      </w:r>
      <w:proofErr w:type="spellStart"/>
      <w:r w:rsidR="000E6B4A">
        <w:rPr>
          <w:rFonts w:ascii="Times New Roman" w:hAnsi="Times New Roman" w:cs="Times New Roman"/>
          <w:sz w:val="24"/>
          <w:szCs w:val="24"/>
        </w:rPr>
        <w:t>RPgw</w:t>
      </w:r>
      <w:proofErr w:type="spellEnd"/>
      <w:r w:rsidR="000E6B4A">
        <w:rPr>
          <w:rFonts w:ascii="Times New Roman" w:hAnsi="Times New Roman" w:cs="Times New Roman"/>
          <w:sz w:val="24"/>
          <w:szCs w:val="24"/>
        </w:rPr>
        <w:t>) ; eau de surface (</w:t>
      </w:r>
      <w:proofErr w:type="spellStart"/>
      <w:r w:rsidR="000E6B4A">
        <w:rPr>
          <w:rFonts w:ascii="Times New Roman" w:hAnsi="Times New Roman" w:cs="Times New Roman"/>
          <w:sz w:val="24"/>
          <w:szCs w:val="24"/>
        </w:rPr>
        <w:t>RPsw</w:t>
      </w:r>
      <w:proofErr w:type="spellEnd"/>
      <w:r w:rsidR="000E6B4A">
        <w:rPr>
          <w:rFonts w:ascii="Times New Roman" w:hAnsi="Times New Roman" w:cs="Times New Roman"/>
          <w:sz w:val="24"/>
          <w:szCs w:val="24"/>
        </w:rPr>
        <w:t>) ; air (</w:t>
      </w:r>
      <w:proofErr w:type="spellStart"/>
      <w:r w:rsidR="000E6B4A">
        <w:rPr>
          <w:rFonts w:ascii="Times New Roman" w:hAnsi="Times New Roman" w:cs="Times New Roman"/>
          <w:sz w:val="24"/>
          <w:szCs w:val="24"/>
        </w:rPr>
        <w:t>RPair</w:t>
      </w:r>
      <w:proofErr w:type="spellEnd"/>
      <w:r w:rsidR="000E6B4A">
        <w:rPr>
          <w:rFonts w:ascii="Times New Roman" w:hAnsi="Times New Roman" w:cs="Times New Roman"/>
          <w:sz w:val="24"/>
          <w:szCs w:val="24"/>
        </w:rPr>
        <w:t>) ; sol (</w:t>
      </w:r>
      <w:proofErr w:type="spellStart"/>
      <w:r w:rsidR="000E6B4A">
        <w:rPr>
          <w:rFonts w:ascii="Times New Roman" w:hAnsi="Times New Roman" w:cs="Times New Roman"/>
          <w:sz w:val="24"/>
          <w:szCs w:val="24"/>
        </w:rPr>
        <w:t>RPsol</w:t>
      </w:r>
      <w:proofErr w:type="spellEnd"/>
      <w:r w:rsidR="000E6B4A">
        <w:rPr>
          <w:rFonts w:ascii="Times New Roman" w:hAnsi="Times New Roman" w:cs="Times New Roman"/>
          <w:sz w:val="24"/>
          <w:szCs w:val="24"/>
        </w:rPr>
        <w:t>).</w:t>
      </w:r>
      <w:r w:rsidR="004D190B" w:rsidRPr="000E6B4A">
        <w:rPr>
          <w:rFonts w:ascii="Times New Roman" w:hAnsi="Times New Roman" w:cs="Times New Roman"/>
          <w:sz w:val="24"/>
          <w:szCs w:val="24"/>
        </w:rPr>
        <w:t xml:space="preserve"> </w:t>
      </w:r>
      <w:r w:rsidR="00D11272">
        <w:rPr>
          <w:rFonts w:ascii="Times New Roman" w:hAnsi="Times New Roman" w:cs="Times New Roman"/>
          <w:sz w:val="24"/>
          <w:szCs w:val="24"/>
        </w:rPr>
        <w:t xml:space="preserve">La tomate et le céleri </w:t>
      </w:r>
      <w:r w:rsidR="00D11272" w:rsidRPr="000E6B4A">
        <w:rPr>
          <w:rFonts w:ascii="Times New Roman" w:hAnsi="Times New Roman" w:cs="Times New Roman"/>
          <w:sz w:val="24"/>
          <w:szCs w:val="24"/>
        </w:rPr>
        <w:t>présentent</w:t>
      </w:r>
      <w:r w:rsidR="004D190B" w:rsidRPr="000E6B4A">
        <w:rPr>
          <w:rFonts w:ascii="Times New Roman" w:hAnsi="Times New Roman" w:cs="Times New Roman"/>
          <w:sz w:val="24"/>
          <w:szCs w:val="24"/>
        </w:rPr>
        <w:t xml:space="preserve"> les points de risques les plus élevés sur l’eau souterraine</w:t>
      </w:r>
      <w:r w:rsidR="00D11272">
        <w:rPr>
          <w:rFonts w:ascii="Times New Roman" w:hAnsi="Times New Roman" w:cs="Times New Roman"/>
          <w:sz w:val="24"/>
          <w:szCs w:val="24"/>
        </w:rPr>
        <w:t xml:space="preserve"> (RP = 3)</w:t>
      </w:r>
      <w:r w:rsidR="004D190B" w:rsidRPr="000E6B4A">
        <w:rPr>
          <w:rFonts w:ascii="Times New Roman" w:hAnsi="Times New Roman" w:cs="Times New Roman"/>
          <w:sz w:val="24"/>
          <w:szCs w:val="24"/>
        </w:rPr>
        <w:t>. Au niveau de l’eau de surface, ce sont la laitue</w:t>
      </w:r>
      <w:r w:rsidR="00D11272">
        <w:rPr>
          <w:rFonts w:ascii="Times New Roman" w:hAnsi="Times New Roman" w:cs="Times New Roman"/>
          <w:sz w:val="24"/>
          <w:szCs w:val="24"/>
        </w:rPr>
        <w:t>,</w:t>
      </w:r>
      <w:r w:rsidR="00682ECA" w:rsidRPr="000E6B4A">
        <w:rPr>
          <w:rFonts w:ascii="Times New Roman" w:hAnsi="Times New Roman" w:cs="Times New Roman"/>
          <w:sz w:val="24"/>
          <w:szCs w:val="24"/>
        </w:rPr>
        <w:t xml:space="preserve"> le chou, le persil </w:t>
      </w:r>
      <w:r w:rsidR="00D11272">
        <w:rPr>
          <w:rFonts w:ascii="Times New Roman" w:hAnsi="Times New Roman" w:cs="Times New Roman"/>
          <w:sz w:val="24"/>
          <w:szCs w:val="24"/>
        </w:rPr>
        <w:t>et le poivron</w:t>
      </w:r>
      <w:r w:rsidR="004D190B" w:rsidRPr="000E6B4A">
        <w:rPr>
          <w:rFonts w:ascii="Times New Roman" w:hAnsi="Times New Roman" w:cs="Times New Roman"/>
          <w:sz w:val="24"/>
          <w:szCs w:val="24"/>
        </w:rPr>
        <w:t xml:space="preserve"> qui montrent un risque plus </w:t>
      </w:r>
      <w:r w:rsidR="00D11272">
        <w:rPr>
          <w:rFonts w:ascii="Times New Roman" w:hAnsi="Times New Roman" w:cs="Times New Roman"/>
          <w:sz w:val="24"/>
          <w:szCs w:val="24"/>
        </w:rPr>
        <w:t>élevé (RP =2). Sur le sol, seul le céleri</w:t>
      </w:r>
      <w:r w:rsidR="004D190B" w:rsidRPr="000E6B4A">
        <w:rPr>
          <w:rFonts w:ascii="Times New Roman" w:hAnsi="Times New Roman" w:cs="Times New Roman"/>
          <w:sz w:val="24"/>
          <w:szCs w:val="24"/>
        </w:rPr>
        <w:t xml:space="preserve"> </w:t>
      </w:r>
      <w:r w:rsidR="00F3575C">
        <w:rPr>
          <w:rFonts w:ascii="Times New Roman" w:hAnsi="Times New Roman" w:cs="Times New Roman"/>
          <w:sz w:val="24"/>
          <w:szCs w:val="24"/>
        </w:rPr>
        <w:t xml:space="preserve">présente </w:t>
      </w:r>
      <w:r w:rsidR="00C06A60">
        <w:rPr>
          <w:rFonts w:ascii="Times New Roman" w:hAnsi="Times New Roman" w:cs="Times New Roman"/>
          <w:sz w:val="24"/>
          <w:szCs w:val="24"/>
        </w:rPr>
        <w:t xml:space="preserve">un risque de toxicité présent </w:t>
      </w:r>
      <w:r w:rsidR="00D11272">
        <w:rPr>
          <w:rFonts w:ascii="Times New Roman" w:hAnsi="Times New Roman" w:cs="Times New Roman"/>
          <w:sz w:val="24"/>
          <w:szCs w:val="24"/>
        </w:rPr>
        <w:t>(RP = 3)</w:t>
      </w:r>
      <w:r w:rsidR="004D190B" w:rsidRPr="000E6B4A">
        <w:rPr>
          <w:rFonts w:ascii="Times New Roman" w:hAnsi="Times New Roman" w:cs="Times New Roman"/>
          <w:sz w:val="24"/>
          <w:szCs w:val="24"/>
        </w:rPr>
        <w:t xml:space="preserve">. Quant au compartiment air, le risque de toxicité est </w:t>
      </w:r>
      <w:r w:rsidR="00D11272">
        <w:rPr>
          <w:rFonts w:ascii="Times New Roman" w:hAnsi="Times New Roman" w:cs="Times New Roman"/>
          <w:sz w:val="24"/>
          <w:szCs w:val="24"/>
        </w:rPr>
        <w:t>négligeable</w:t>
      </w:r>
      <w:r w:rsidR="006F3071">
        <w:rPr>
          <w:rFonts w:ascii="Times New Roman" w:hAnsi="Times New Roman" w:cs="Times New Roman"/>
          <w:sz w:val="24"/>
          <w:szCs w:val="24"/>
        </w:rPr>
        <w:t xml:space="preserve"> (RP = 1)</w:t>
      </w:r>
      <w:r w:rsidR="005418B6">
        <w:rPr>
          <w:rFonts w:ascii="Times New Roman" w:hAnsi="Times New Roman" w:cs="Times New Roman"/>
          <w:sz w:val="24"/>
          <w:szCs w:val="24"/>
        </w:rPr>
        <w:t xml:space="preserve"> pour toutes les spéculations</w:t>
      </w:r>
      <w:r w:rsidR="004D190B" w:rsidRPr="000E6B4A">
        <w:rPr>
          <w:rFonts w:ascii="Times New Roman" w:hAnsi="Times New Roman" w:cs="Times New Roman"/>
          <w:sz w:val="24"/>
          <w:szCs w:val="24"/>
        </w:rPr>
        <w:t>.</w:t>
      </w:r>
    </w:p>
    <w:p w14:paraId="11BEBC16" w14:textId="77777777" w:rsidR="002B2B43" w:rsidRPr="00685F73" w:rsidRDefault="002B2B43" w:rsidP="002B2B43">
      <w:pPr>
        <w:spacing w:line="240" w:lineRule="auto"/>
        <w:jc w:val="center"/>
        <w:rPr>
          <w:sz w:val="20"/>
          <w:szCs w:val="20"/>
        </w:rPr>
      </w:pPr>
      <w:r w:rsidRPr="00685F73">
        <w:rPr>
          <w:noProof/>
          <w:sz w:val="20"/>
          <w:szCs w:val="20"/>
          <w:lang w:eastAsia="fr-FR"/>
        </w:rPr>
        <w:drawing>
          <wp:inline distT="0" distB="0" distL="0" distR="0" wp14:anchorId="36D4FB08" wp14:editId="241EA654">
            <wp:extent cx="3467405" cy="1975809"/>
            <wp:effectExtent l="0" t="0" r="0" b="571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86658" cy="1986780"/>
                    </a:xfrm>
                    <a:prstGeom prst="rect">
                      <a:avLst/>
                    </a:prstGeom>
                    <a:noFill/>
                    <a:ln>
                      <a:noFill/>
                    </a:ln>
                  </pic:spPr>
                </pic:pic>
              </a:graphicData>
            </a:graphic>
          </wp:inline>
        </w:drawing>
      </w:r>
    </w:p>
    <w:p w14:paraId="5D424D91" w14:textId="77777777" w:rsidR="002B2B43" w:rsidRPr="00685F73" w:rsidRDefault="002B2B43" w:rsidP="002B2B43">
      <w:pPr>
        <w:spacing w:line="240" w:lineRule="auto"/>
        <w:rPr>
          <w:rFonts w:ascii="Times New Roman" w:hAnsi="Times New Roman" w:cs="Times New Roman"/>
          <w:sz w:val="20"/>
          <w:szCs w:val="20"/>
        </w:rPr>
      </w:pPr>
      <w:proofErr w:type="spellStart"/>
      <w:r w:rsidRPr="00685F73">
        <w:rPr>
          <w:rFonts w:ascii="Times New Roman" w:hAnsi="Times New Roman" w:cs="Times New Roman"/>
          <w:sz w:val="20"/>
          <w:szCs w:val="20"/>
        </w:rPr>
        <w:t>RPgw</w:t>
      </w:r>
      <w:proofErr w:type="spellEnd"/>
      <w:r w:rsidRPr="00685F73">
        <w:rPr>
          <w:rFonts w:ascii="Times New Roman" w:hAnsi="Times New Roman" w:cs="Times New Roman"/>
          <w:sz w:val="20"/>
          <w:szCs w:val="20"/>
        </w:rPr>
        <w:t xml:space="preserve"> : Point de Risque eau souterraine, </w:t>
      </w:r>
      <w:proofErr w:type="spellStart"/>
      <w:r w:rsidRPr="00685F73">
        <w:rPr>
          <w:rFonts w:ascii="Times New Roman" w:hAnsi="Times New Roman" w:cs="Times New Roman"/>
          <w:b/>
          <w:sz w:val="20"/>
          <w:szCs w:val="20"/>
        </w:rPr>
        <w:t>RPsw</w:t>
      </w:r>
      <w:proofErr w:type="spellEnd"/>
      <w:r w:rsidRPr="00685F73">
        <w:rPr>
          <w:rFonts w:ascii="Times New Roman" w:hAnsi="Times New Roman" w:cs="Times New Roman"/>
          <w:sz w:val="20"/>
          <w:szCs w:val="20"/>
        </w:rPr>
        <w:t> : Point de Risque eau de surface,</w:t>
      </w:r>
      <w:r w:rsidRPr="00685F73">
        <w:rPr>
          <w:rFonts w:ascii="Times New Roman" w:hAnsi="Times New Roman" w:cs="Times New Roman"/>
          <w:b/>
          <w:sz w:val="20"/>
          <w:szCs w:val="20"/>
        </w:rPr>
        <w:t xml:space="preserve"> </w:t>
      </w:r>
      <w:proofErr w:type="spellStart"/>
      <w:r w:rsidRPr="00685F73">
        <w:rPr>
          <w:rFonts w:ascii="Times New Roman" w:hAnsi="Times New Roman" w:cs="Times New Roman"/>
          <w:b/>
          <w:sz w:val="20"/>
          <w:szCs w:val="20"/>
        </w:rPr>
        <w:t>RPair</w:t>
      </w:r>
      <w:proofErr w:type="spellEnd"/>
      <w:r w:rsidRPr="00685F73">
        <w:rPr>
          <w:rFonts w:ascii="Times New Roman" w:hAnsi="Times New Roman" w:cs="Times New Roman"/>
          <w:sz w:val="20"/>
          <w:szCs w:val="20"/>
        </w:rPr>
        <w:t xml:space="preserve"> : Point de Risque de l’air et </w:t>
      </w:r>
      <w:proofErr w:type="spellStart"/>
      <w:r w:rsidRPr="00685F73">
        <w:rPr>
          <w:rFonts w:ascii="Times New Roman" w:hAnsi="Times New Roman" w:cs="Times New Roman"/>
          <w:b/>
          <w:sz w:val="20"/>
          <w:szCs w:val="20"/>
        </w:rPr>
        <w:t>RPsol</w:t>
      </w:r>
      <w:proofErr w:type="spellEnd"/>
      <w:r w:rsidRPr="00685F73">
        <w:rPr>
          <w:rFonts w:ascii="Times New Roman" w:hAnsi="Times New Roman" w:cs="Times New Roman"/>
          <w:b/>
          <w:sz w:val="20"/>
          <w:szCs w:val="20"/>
        </w:rPr>
        <w:t> </w:t>
      </w:r>
      <w:r w:rsidRPr="00685F73">
        <w:rPr>
          <w:rFonts w:ascii="Times New Roman" w:hAnsi="Times New Roman" w:cs="Times New Roman"/>
          <w:sz w:val="20"/>
          <w:szCs w:val="20"/>
        </w:rPr>
        <w:t>: Point de Risque du sol.</w:t>
      </w:r>
    </w:p>
    <w:p w14:paraId="53A688A5" w14:textId="77777777" w:rsidR="002B2B43" w:rsidRPr="00685F73" w:rsidRDefault="002B2B43" w:rsidP="002B2B43">
      <w:pPr>
        <w:spacing w:after="240" w:line="240" w:lineRule="auto"/>
        <w:rPr>
          <w:rFonts w:ascii="Times New Roman" w:hAnsi="Times New Roman" w:cs="Times New Roman"/>
          <w:sz w:val="20"/>
          <w:szCs w:val="20"/>
        </w:rPr>
      </w:pPr>
      <w:bookmarkStart w:id="3" w:name="_Toc486628820"/>
      <w:r w:rsidRPr="00685F73">
        <w:rPr>
          <w:rFonts w:ascii="Times New Roman" w:hAnsi="Times New Roman" w:cs="Times New Roman"/>
          <w:b/>
          <w:sz w:val="20"/>
          <w:szCs w:val="20"/>
        </w:rPr>
        <w:t xml:space="preserve">Figure 3 : </w:t>
      </w:r>
      <w:r w:rsidRPr="00685F73">
        <w:rPr>
          <w:rFonts w:ascii="Times New Roman" w:hAnsi="Times New Roman" w:cs="Times New Roman"/>
          <w:sz w:val="20"/>
          <w:szCs w:val="20"/>
        </w:rPr>
        <w:t>Points moyens de risque des principales spéculation</w:t>
      </w:r>
      <w:bookmarkEnd w:id="3"/>
      <w:r w:rsidRPr="00685F73">
        <w:rPr>
          <w:rFonts w:ascii="Times New Roman" w:hAnsi="Times New Roman" w:cs="Times New Roman"/>
          <w:sz w:val="20"/>
          <w:szCs w:val="20"/>
        </w:rPr>
        <w:t>s des sites</w:t>
      </w:r>
    </w:p>
    <w:p w14:paraId="5442D46F" w14:textId="6DAA1BA6" w:rsidR="004D190B" w:rsidRPr="00223396" w:rsidRDefault="00EB7D2E" w:rsidP="00CD5AEC">
      <w:pPr>
        <w:pStyle w:val="Titre3"/>
        <w:spacing w:after="120" w:line="240" w:lineRule="auto"/>
        <w:jc w:val="both"/>
        <w:rPr>
          <w:rFonts w:ascii="Times New Roman" w:hAnsi="Times New Roman" w:cs="Times New Roman"/>
          <w:b/>
          <w:color w:val="auto"/>
        </w:rPr>
      </w:pPr>
      <w:bookmarkStart w:id="4" w:name="_Toc486628788"/>
      <w:r>
        <w:rPr>
          <w:rFonts w:ascii="Times New Roman" w:hAnsi="Times New Roman" w:cs="Times New Roman"/>
          <w:b/>
          <w:color w:val="auto"/>
        </w:rPr>
        <w:t>2</w:t>
      </w:r>
      <w:r w:rsidR="00992968">
        <w:rPr>
          <w:rFonts w:ascii="Times New Roman" w:hAnsi="Times New Roman" w:cs="Times New Roman"/>
          <w:b/>
          <w:color w:val="auto"/>
        </w:rPr>
        <w:t>.4</w:t>
      </w:r>
      <w:r w:rsidR="004D190B" w:rsidRPr="00223396">
        <w:rPr>
          <w:rFonts w:ascii="Times New Roman" w:hAnsi="Times New Roman" w:cs="Times New Roman"/>
          <w:b/>
          <w:color w:val="auto"/>
        </w:rPr>
        <w:t xml:space="preserve"> Points de </w:t>
      </w:r>
      <w:r w:rsidR="004D190B">
        <w:rPr>
          <w:rFonts w:ascii="Times New Roman" w:hAnsi="Times New Roman" w:cs="Times New Roman"/>
          <w:b/>
          <w:color w:val="auto"/>
        </w:rPr>
        <w:t>r</w:t>
      </w:r>
      <w:r w:rsidR="004D190B" w:rsidRPr="00223396">
        <w:rPr>
          <w:rFonts w:ascii="Times New Roman" w:hAnsi="Times New Roman" w:cs="Times New Roman"/>
          <w:b/>
          <w:color w:val="auto"/>
        </w:rPr>
        <w:t xml:space="preserve">isques </w:t>
      </w:r>
      <w:r w:rsidR="00C15CE2">
        <w:rPr>
          <w:rFonts w:ascii="Times New Roman" w:hAnsi="Times New Roman" w:cs="Times New Roman"/>
          <w:b/>
          <w:color w:val="auto"/>
        </w:rPr>
        <w:t>de toxicité moyen</w:t>
      </w:r>
      <w:r w:rsidR="00CF1A2D">
        <w:rPr>
          <w:rFonts w:ascii="Times New Roman" w:hAnsi="Times New Roman" w:cs="Times New Roman"/>
          <w:b/>
          <w:color w:val="auto"/>
        </w:rPr>
        <w:t>ne</w:t>
      </w:r>
      <w:r w:rsidR="004D190B" w:rsidRPr="00223396">
        <w:rPr>
          <w:rFonts w:ascii="Times New Roman" w:hAnsi="Times New Roman" w:cs="Times New Roman"/>
          <w:b/>
          <w:color w:val="auto"/>
        </w:rPr>
        <w:t xml:space="preserve"> par matière active</w:t>
      </w:r>
      <w:bookmarkEnd w:id="4"/>
    </w:p>
    <w:p w14:paraId="22DC857C" w14:textId="270BAF85" w:rsidR="004D190B" w:rsidRDefault="005418B6" w:rsidP="00CD5AEC">
      <w:pPr>
        <w:spacing w:after="120" w:line="240" w:lineRule="auto"/>
        <w:rPr>
          <w:rFonts w:ascii="Times New Roman" w:hAnsi="Times New Roman" w:cs="Times New Roman"/>
          <w:sz w:val="24"/>
          <w:szCs w:val="24"/>
        </w:rPr>
      </w:pPr>
      <w:r>
        <w:rPr>
          <w:rFonts w:ascii="Times New Roman" w:hAnsi="Times New Roman" w:cs="Times New Roman"/>
          <w:sz w:val="24"/>
          <w:szCs w:val="24"/>
        </w:rPr>
        <w:t>Les résultats sur l</w:t>
      </w:r>
      <w:r w:rsidR="004D190B" w:rsidRPr="006011FC">
        <w:rPr>
          <w:rFonts w:ascii="Times New Roman" w:hAnsi="Times New Roman" w:cs="Times New Roman"/>
          <w:sz w:val="24"/>
          <w:szCs w:val="24"/>
        </w:rPr>
        <w:t xml:space="preserve">es points de risques </w:t>
      </w:r>
      <w:r>
        <w:rPr>
          <w:rFonts w:ascii="Times New Roman" w:hAnsi="Times New Roman" w:cs="Times New Roman"/>
          <w:sz w:val="24"/>
          <w:szCs w:val="24"/>
        </w:rPr>
        <w:t xml:space="preserve">de toxicité </w:t>
      </w:r>
      <w:r w:rsidR="004D190B" w:rsidRPr="006011FC">
        <w:rPr>
          <w:rFonts w:ascii="Times New Roman" w:hAnsi="Times New Roman" w:cs="Times New Roman"/>
          <w:sz w:val="24"/>
          <w:szCs w:val="24"/>
        </w:rPr>
        <w:t xml:space="preserve">par matière active, indiquent une toxicité beaucoup plus importante pour </w:t>
      </w:r>
      <w:r>
        <w:rPr>
          <w:rFonts w:ascii="Times New Roman" w:hAnsi="Times New Roman" w:cs="Times New Roman"/>
          <w:sz w:val="24"/>
          <w:szCs w:val="24"/>
        </w:rPr>
        <w:t>l’eau</w:t>
      </w:r>
      <w:r w:rsidR="004D190B" w:rsidRPr="006011FC">
        <w:rPr>
          <w:rFonts w:ascii="Times New Roman" w:hAnsi="Times New Roman" w:cs="Times New Roman"/>
          <w:sz w:val="24"/>
          <w:szCs w:val="24"/>
        </w:rPr>
        <w:t xml:space="preserve"> souterraine respectivement pour le </w:t>
      </w:r>
      <w:proofErr w:type="spellStart"/>
      <w:r w:rsidR="004D190B" w:rsidRPr="006011FC">
        <w:rPr>
          <w:rFonts w:ascii="Times New Roman" w:hAnsi="Times New Roman" w:cs="Times New Roman"/>
          <w:sz w:val="24"/>
          <w:szCs w:val="24"/>
        </w:rPr>
        <w:t>methomyl</w:t>
      </w:r>
      <w:proofErr w:type="spellEnd"/>
      <w:r w:rsidR="004D190B" w:rsidRPr="006011FC">
        <w:rPr>
          <w:rFonts w:ascii="Times New Roman" w:hAnsi="Times New Roman" w:cs="Times New Roman"/>
          <w:sz w:val="24"/>
          <w:szCs w:val="24"/>
        </w:rPr>
        <w:t xml:space="preserve"> (</w:t>
      </w:r>
      <w:r w:rsidR="008B694D" w:rsidRPr="006011FC">
        <w:rPr>
          <w:rFonts w:ascii="Times New Roman" w:hAnsi="Times New Roman" w:cs="Times New Roman"/>
          <w:sz w:val="24"/>
          <w:szCs w:val="24"/>
        </w:rPr>
        <w:t xml:space="preserve">RP = </w:t>
      </w:r>
      <w:r w:rsidR="00320B10">
        <w:rPr>
          <w:rFonts w:ascii="Times New Roman" w:hAnsi="Times New Roman" w:cs="Times New Roman"/>
          <w:sz w:val="24"/>
          <w:szCs w:val="24"/>
        </w:rPr>
        <w:t>4)</w:t>
      </w:r>
      <w:r w:rsidR="004D190B" w:rsidRPr="006011FC">
        <w:rPr>
          <w:rFonts w:ascii="Times New Roman" w:hAnsi="Times New Roman" w:cs="Times New Roman"/>
          <w:sz w:val="24"/>
          <w:szCs w:val="24"/>
        </w:rPr>
        <w:t>, l’</w:t>
      </w:r>
      <w:proofErr w:type="spellStart"/>
      <w:r w:rsidR="004D190B" w:rsidRPr="006011FC">
        <w:rPr>
          <w:rFonts w:ascii="Times New Roman" w:hAnsi="Times New Roman" w:cs="Times New Roman"/>
          <w:sz w:val="24"/>
          <w:szCs w:val="24"/>
        </w:rPr>
        <w:t>acétamipride</w:t>
      </w:r>
      <w:proofErr w:type="spellEnd"/>
      <w:r w:rsidR="004D190B" w:rsidRPr="006011FC">
        <w:rPr>
          <w:rFonts w:ascii="Times New Roman" w:hAnsi="Times New Roman" w:cs="Times New Roman"/>
          <w:sz w:val="24"/>
          <w:szCs w:val="24"/>
        </w:rPr>
        <w:t xml:space="preserve"> (</w:t>
      </w:r>
      <w:r w:rsidR="008B694D" w:rsidRPr="006011FC">
        <w:rPr>
          <w:rFonts w:ascii="Times New Roman" w:hAnsi="Times New Roman" w:cs="Times New Roman"/>
          <w:sz w:val="24"/>
          <w:szCs w:val="24"/>
        </w:rPr>
        <w:t xml:space="preserve">RP= </w:t>
      </w:r>
      <w:r w:rsidR="004D190B" w:rsidRPr="006011FC">
        <w:rPr>
          <w:rFonts w:ascii="Times New Roman" w:hAnsi="Times New Roman" w:cs="Times New Roman"/>
          <w:sz w:val="24"/>
          <w:szCs w:val="24"/>
        </w:rPr>
        <w:t>3)</w:t>
      </w:r>
      <w:r w:rsidR="004D190B" w:rsidRPr="006011FC" w:rsidDel="00412933">
        <w:rPr>
          <w:rFonts w:ascii="Times New Roman" w:hAnsi="Times New Roman" w:cs="Times New Roman"/>
          <w:sz w:val="24"/>
          <w:szCs w:val="24"/>
        </w:rPr>
        <w:t xml:space="preserve"> </w:t>
      </w:r>
      <w:r w:rsidR="004D190B" w:rsidRPr="006011FC">
        <w:rPr>
          <w:rFonts w:ascii="Times New Roman" w:hAnsi="Times New Roman" w:cs="Times New Roman"/>
          <w:sz w:val="24"/>
          <w:szCs w:val="24"/>
        </w:rPr>
        <w:t>et le cyperméthrine (</w:t>
      </w:r>
      <w:r w:rsidR="008B694D" w:rsidRPr="006011FC">
        <w:rPr>
          <w:rFonts w:ascii="Times New Roman" w:hAnsi="Times New Roman" w:cs="Times New Roman"/>
          <w:sz w:val="24"/>
          <w:szCs w:val="24"/>
        </w:rPr>
        <w:t xml:space="preserve">RP= </w:t>
      </w:r>
      <w:r w:rsidR="004D190B" w:rsidRPr="006011FC">
        <w:rPr>
          <w:rFonts w:ascii="Times New Roman" w:hAnsi="Times New Roman" w:cs="Times New Roman"/>
          <w:sz w:val="24"/>
          <w:szCs w:val="24"/>
        </w:rPr>
        <w:t xml:space="preserve">3). </w:t>
      </w:r>
      <w:r w:rsidR="005B46CB">
        <w:rPr>
          <w:rFonts w:ascii="Times New Roman" w:hAnsi="Times New Roman" w:cs="Times New Roman"/>
          <w:sz w:val="24"/>
          <w:szCs w:val="24"/>
        </w:rPr>
        <w:t>Dans</w:t>
      </w:r>
      <w:r w:rsidR="004D190B" w:rsidRPr="006011FC">
        <w:rPr>
          <w:rFonts w:ascii="Times New Roman" w:hAnsi="Times New Roman" w:cs="Times New Roman"/>
          <w:sz w:val="24"/>
          <w:szCs w:val="24"/>
        </w:rPr>
        <w:t xml:space="preserve"> l’eau de surface, le lambda-</w:t>
      </w:r>
      <w:proofErr w:type="spellStart"/>
      <w:r w:rsidR="004D190B" w:rsidRPr="006011FC">
        <w:rPr>
          <w:rFonts w:ascii="Times New Roman" w:hAnsi="Times New Roman" w:cs="Times New Roman"/>
          <w:sz w:val="24"/>
          <w:szCs w:val="24"/>
        </w:rPr>
        <w:t>cyhalothrine</w:t>
      </w:r>
      <w:proofErr w:type="spellEnd"/>
      <w:r w:rsidR="004D190B" w:rsidRPr="006011FC">
        <w:rPr>
          <w:rFonts w:ascii="Times New Roman" w:hAnsi="Times New Roman" w:cs="Times New Roman"/>
          <w:sz w:val="24"/>
          <w:szCs w:val="24"/>
        </w:rPr>
        <w:t xml:space="preserve">, le </w:t>
      </w:r>
      <w:proofErr w:type="spellStart"/>
      <w:r w:rsidR="004D190B" w:rsidRPr="006011FC">
        <w:rPr>
          <w:rFonts w:ascii="Times New Roman" w:hAnsi="Times New Roman" w:cs="Times New Roman"/>
          <w:sz w:val="24"/>
          <w:szCs w:val="24"/>
        </w:rPr>
        <w:t>delta</w:t>
      </w:r>
      <w:r w:rsidR="00992968">
        <w:rPr>
          <w:rFonts w:ascii="Times New Roman" w:hAnsi="Times New Roman" w:cs="Times New Roman"/>
          <w:sz w:val="24"/>
          <w:szCs w:val="24"/>
        </w:rPr>
        <w:t>methrine</w:t>
      </w:r>
      <w:proofErr w:type="spellEnd"/>
      <w:r w:rsidR="00992968">
        <w:rPr>
          <w:rFonts w:ascii="Times New Roman" w:hAnsi="Times New Roman" w:cs="Times New Roman"/>
          <w:sz w:val="24"/>
          <w:szCs w:val="24"/>
        </w:rPr>
        <w:t xml:space="preserve"> et le </w:t>
      </w:r>
      <w:proofErr w:type="spellStart"/>
      <w:r w:rsidR="00992968">
        <w:rPr>
          <w:rFonts w:ascii="Times New Roman" w:hAnsi="Times New Roman" w:cs="Times New Roman"/>
          <w:sz w:val="24"/>
          <w:szCs w:val="24"/>
        </w:rPr>
        <w:t>cypermethrine</w:t>
      </w:r>
      <w:proofErr w:type="spellEnd"/>
      <w:r w:rsidR="004D190B" w:rsidRPr="006011FC">
        <w:rPr>
          <w:rFonts w:ascii="Times New Roman" w:hAnsi="Times New Roman" w:cs="Times New Roman"/>
          <w:sz w:val="24"/>
          <w:szCs w:val="24"/>
        </w:rPr>
        <w:t xml:space="preserve"> sont les matières actives ayant un point de risque notable</w:t>
      </w:r>
      <w:r w:rsidR="00C15CE2">
        <w:rPr>
          <w:rFonts w:ascii="Times New Roman" w:hAnsi="Times New Roman" w:cs="Times New Roman"/>
          <w:sz w:val="24"/>
          <w:szCs w:val="24"/>
        </w:rPr>
        <w:t xml:space="preserve"> (</w:t>
      </w:r>
      <w:proofErr w:type="spellStart"/>
      <w:r w:rsidR="00C15CE2">
        <w:rPr>
          <w:rFonts w:ascii="Times New Roman" w:hAnsi="Times New Roman" w:cs="Times New Roman"/>
          <w:sz w:val="24"/>
          <w:szCs w:val="24"/>
        </w:rPr>
        <w:t>Rp</w:t>
      </w:r>
      <w:proofErr w:type="spellEnd"/>
      <w:r w:rsidR="00C15CE2">
        <w:rPr>
          <w:rFonts w:ascii="Times New Roman" w:hAnsi="Times New Roman" w:cs="Times New Roman"/>
          <w:sz w:val="24"/>
          <w:szCs w:val="24"/>
        </w:rPr>
        <w:t xml:space="preserve"> = 3)</w:t>
      </w:r>
      <w:r w:rsidR="004D190B" w:rsidRPr="006011FC">
        <w:rPr>
          <w:rFonts w:ascii="Times New Roman" w:hAnsi="Times New Roman" w:cs="Times New Roman"/>
          <w:sz w:val="24"/>
          <w:szCs w:val="24"/>
        </w:rPr>
        <w:t>.</w:t>
      </w:r>
      <w:r w:rsidR="001338BB">
        <w:rPr>
          <w:rFonts w:ascii="Times New Roman" w:hAnsi="Times New Roman" w:cs="Times New Roman"/>
          <w:sz w:val="24"/>
          <w:szCs w:val="24"/>
        </w:rPr>
        <w:t xml:space="preserve"> Au niveau du sol, l’</w:t>
      </w:r>
      <w:proofErr w:type="spellStart"/>
      <w:r w:rsidR="001338BB">
        <w:rPr>
          <w:rFonts w:ascii="Times New Roman" w:hAnsi="Times New Roman" w:cs="Times New Roman"/>
          <w:sz w:val="24"/>
          <w:szCs w:val="24"/>
        </w:rPr>
        <w:t>abamectine</w:t>
      </w:r>
      <w:proofErr w:type="spellEnd"/>
      <w:r w:rsidR="001338BB">
        <w:rPr>
          <w:rFonts w:ascii="Times New Roman" w:hAnsi="Times New Roman" w:cs="Times New Roman"/>
          <w:sz w:val="24"/>
          <w:szCs w:val="24"/>
        </w:rPr>
        <w:t xml:space="preserve"> et</w:t>
      </w:r>
      <w:r w:rsidR="004D190B" w:rsidRPr="006011FC">
        <w:rPr>
          <w:rFonts w:ascii="Times New Roman" w:hAnsi="Times New Roman" w:cs="Times New Roman"/>
          <w:sz w:val="24"/>
          <w:szCs w:val="24"/>
        </w:rPr>
        <w:t xml:space="preserve"> le </w:t>
      </w:r>
      <w:proofErr w:type="spellStart"/>
      <w:r w:rsidR="001338BB">
        <w:rPr>
          <w:rFonts w:ascii="Times New Roman" w:hAnsi="Times New Roman" w:cs="Times New Roman"/>
          <w:sz w:val="24"/>
          <w:szCs w:val="24"/>
        </w:rPr>
        <w:t>methomyl</w:t>
      </w:r>
      <w:proofErr w:type="spellEnd"/>
      <w:r w:rsidR="004D190B" w:rsidRPr="006011FC">
        <w:rPr>
          <w:rFonts w:ascii="Times New Roman" w:hAnsi="Times New Roman" w:cs="Times New Roman"/>
          <w:sz w:val="24"/>
          <w:szCs w:val="24"/>
        </w:rPr>
        <w:t xml:space="preserve"> cumulent des points de risques assez élevés</w:t>
      </w:r>
      <w:r w:rsidR="00C15CE2">
        <w:rPr>
          <w:rFonts w:ascii="Times New Roman" w:hAnsi="Times New Roman" w:cs="Times New Roman"/>
          <w:sz w:val="24"/>
          <w:szCs w:val="24"/>
        </w:rPr>
        <w:t xml:space="preserve"> (RP = 3)</w:t>
      </w:r>
      <w:r w:rsidR="004D190B" w:rsidRPr="006011FC">
        <w:rPr>
          <w:rFonts w:ascii="Times New Roman" w:hAnsi="Times New Roman" w:cs="Times New Roman"/>
          <w:sz w:val="24"/>
          <w:szCs w:val="24"/>
        </w:rPr>
        <w:t>. L’ensemble des matières actives</w:t>
      </w:r>
      <w:r w:rsidR="00386816">
        <w:rPr>
          <w:rFonts w:ascii="Times New Roman" w:hAnsi="Times New Roman" w:cs="Times New Roman"/>
          <w:sz w:val="24"/>
          <w:szCs w:val="24"/>
        </w:rPr>
        <w:t xml:space="preserve"> utilisées</w:t>
      </w:r>
      <w:r w:rsidR="004D190B" w:rsidRPr="006011FC">
        <w:rPr>
          <w:rFonts w:ascii="Times New Roman" w:hAnsi="Times New Roman" w:cs="Times New Roman"/>
          <w:sz w:val="24"/>
          <w:szCs w:val="24"/>
        </w:rPr>
        <w:t xml:space="preserve"> ne présente qu’un fa</w:t>
      </w:r>
      <w:r w:rsidR="00C15CE2">
        <w:rPr>
          <w:rFonts w:ascii="Times New Roman" w:hAnsi="Times New Roman" w:cs="Times New Roman"/>
          <w:sz w:val="24"/>
          <w:szCs w:val="24"/>
        </w:rPr>
        <w:t xml:space="preserve">ible risque pour l’air (figure </w:t>
      </w:r>
      <w:r w:rsidR="004D190B" w:rsidRPr="006011FC">
        <w:rPr>
          <w:rFonts w:ascii="Times New Roman" w:hAnsi="Times New Roman" w:cs="Times New Roman"/>
          <w:sz w:val="24"/>
          <w:szCs w:val="24"/>
        </w:rPr>
        <w:t>4).</w:t>
      </w:r>
    </w:p>
    <w:p w14:paraId="2B74C2DA" w14:textId="77777777" w:rsidR="002B2B43" w:rsidRPr="00CE211E" w:rsidRDefault="002B2B43" w:rsidP="002B2B43">
      <w:pPr>
        <w:spacing w:line="240" w:lineRule="auto"/>
        <w:jc w:val="center"/>
      </w:pPr>
      <w:r w:rsidRPr="00C15E83">
        <w:rPr>
          <w:noProof/>
          <w:lang w:eastAsia="fr-FR"/>
        </w:rPr>
        <w:drawing>
          <wp:inline distT="0" distB="0" distL="0" distR="0" wp14:anchorId="743EC860" wp14:editId="51CEA9F2">
            <wp:extent cx="3619994" cy="2450592"/>
            <wp:effectExtent l="0" t="0" r="0" b="698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65026" cy="2481077"/>
                    </a:xfrm>
                    <a:prstGeom prst="rect">
                      <a:avLst/>
                    </a:prstGeom>
                    <a:noFill/>
                    <a:ln>
                      <a:noFill/>
                    </a:ln>
                  </pic:spPr>
                </pic:pic>
              </a:graphicData>
            </a:graphic>
          </wp:inline>
        </w:drawing>
      </w:r>
    </w:p>
    <w:p w14:paraId="4C937CFB" w14:textId="77777777" w:rsidR="002B2B43" w:rsidRPr="009E6C21" w:rsidRDefault="002B2B43" w:rsidP="009E6C21">
      <w:pPr>
        <w:pStyle w:val="Lgende"/>
        <w:keepNext/>
        <w:spacing w:after="0"/>
        <w:jc w:val="both"/>
        <w:rPr>
          <w:b/>
          <w:i w:val="0"/>
          <w:color w:val="auto"/>
        </w:rPr>
      </w:pPr>
      <w:proofErr w:type="spellStart"/>
      <w:r w:rsidRPr="009E6C21">
        <w:rPr>
          <w:b/>
        </w:rPr>
        <w:t>RPgw</w:t>
      </w:r>
      <w:proofErr w:type="spellEnd"/>
      <w:r w:rsidRPr="009E6C21">
        <w:t xml:space="preserve"> : Point de Risque eau souterraine, </w:t>
      </w:r>
      <w:proofErr w:type="spellStart"/>
      <w:r w:rsidRPr="009E6C21">
        <w:rPr>
          <w:b/>
        </w:rPr>
        <w:t>RPsw</w:t>
      </w:r>
      <w:proofErr w:type="spellEnd"/>
      <w:r w:rsidRPr="009E6C21">
        <w:t> : Point de Risque eau de surface,</w:t>
      </w:r>
      <w:r w:rsidRPr="009E6C21">
        <w:rPr>
          <w:b/>
        </w:rPr>
        <w:t xml:space="preserve"> </w:t>
      </w:r>
      <w:proofErr w:type="spellStart"/>
      <w:r w:rsidRPr="009E6C21">
        <w:rPr>
          <w:b/>
        </w:rPr>
        <w:t>RPair</w:t>
      </w:r>
      <w:proofErr w:type="spellEnd"/>
      <w:r w:rsidRPr="009E6C21">
        <w:t xml:space="preserve"> : Point de Risque de l’air et </w:t>
      </w:r>
      <w:proofErr w:type="spellStart"/>
      <w:r w:rsidRPr="009E6C21">
        <w:rPr>
          <w:b/>
        </w:rPr>
        <w:t>RPsol</w:t>
      </w:r>
      <w:proofErr w:type="spellEnd"/>
      <w:r w:rsidRPr="009E6C21">
        <w:rPr>
          <w:b/>
        </w:rPr>
        <w:t> </w:t>
      </w:r>
      <w:r w:rsidRPr="009E6C21">
        <w:t>: Point de Risque du sol.</w:t>
      </w:r>
      <w:bookmarkStart w:id="5" w:name="_Toc486628821"/>
      <w:r w:rsidRPr="009E6C21">
        <w:rPr>
          <w:b/>
          <w:i w:val="0"/>
          <w:color w:val="auto"/>
        </w:rPr>
        <w:t xml:space="preserve"> </w:t>
      </w:r>
    </w:p>
    <w:p w14:paraId="4D0B3A8A" w14:textId="1B59515F" w:rsidR="002B2B43" w:rsidRPr="009E6C21" w:rsidRDefault="002B2B43" w:rsidP="002B2B43">
      <w:pPr>
        <w:pStyle w:val="Lgende"/>
        <w:keepNext/>
        <w:jc w:val="both"/>
        <w:rPr>
          <w:i w:val="0"/>
          <w:color w:val="auto"/>
        </w:rPr>
      </w:pPr>
      <w:r w:rsidRPr="009E6C21">
        <w:rPr>
          <w:b/>
          <w:i w:val="0"/>
          <w:color w:val="auto"/>
        </w:rPr>
        <w:t xml:space="preserve">Figure 4 : </w:t>
      </w:r>
      <w:r w:rsidRPr="009E6C21">
        <w:rPr>
          <w:i w:val="0"/>
          <w:color w:val="auto"/>
        </w:rPr>
        <w:t>Points de risques moyens des principales matières active</w:t>
      </w:r>
      <w:bookmarkEnd w:id="5"/>
      <w:r w:rsidRPr="009E6C21">
        <w:rPr>
          <w:i w:val="0"/>
          <w:color w:val="auto"/>
        </w:rPr>
        <w:t>s utilisées sur les sites</w:t>
      </w:r>
    </w:p>
    <w:p w14:paraId="3963FEBC" w14:textId="77777777" w:rsidR="002B2B43" w:rsidRPr="00782508" w:rsidRDefault="002B2B43" w:rsidP="002B2B43">
      <w:pPr>
        <w:spacing w:line="240" w:lineRule="auto"/>
        <w:rPr>
          <w:sz w:val="20"/>
        </w:rPr>
      </w:pPr>
    </w:p>
    <w:p w14:paraId="00A45B4D" w14:textId="42E0843C" w:rsidR="0070047B" w:rsidRPr="00992968" w:rsidRDefault="00EB7D2E" w:rsidP="00CD5AEC">
      <w:pPr>
        <w:spacing w:after="120" w:line="240" w:lineRule="auto"/>
        <w:rPr>
          <w:rFonts w:ascii="Times New Roman" w:hAnsi="Times New Roman" w:cs="Times New Roman"/>
          <w:b/>
          <w:sz w:val="24"/>
          <w:szCs w:val="24"/>
        </w:rPr>
      </w:pPr>
      <w:r>
        <w:rPr>
          <w:rFonts w:ascii="Times New Roman" w:hAnsi="Times New Roman" w:cs="Times New Roman"/>
          <w:b/>
          <w:sz w:val="24"/>
          <w:szCs w:val="24"/>
        </w:rPr>
        <w:lastRenderedPageBreak/>
        <w:t>2</w:t>
      </w:r>
      <w:r w:rsidR="00992968">
        <w:rPr>
          <w:rFonts w:ascii="Times New Roman" w:hAnsi="Times New Roman" w:cs="Times New Roman"/>
          <w:b/>
          <w:sz w:val="24"/>
          <w:szCs w:val="24"/>
        </w:rPr>
        <w:t xml:space="preserve">.5 </w:t>
      </w:r>
      <w:r w:rsidR="0070047B" w:rsidRPr="00992968">
        <w:rPr>
          <w:rFonts w:ascii="Times New Roman" w:hAnsi="Times New Roman" w:cs="Times New Roman"/>
          <w:b/>
          <w:sz w:val="24"/>
          <w:szCs w:val="24"/>
        </w:rPr>
        <w:t>Scores globaux moyens de « EPRIP » par principale spéculation</w:t>
      </w:r>
    </w:p>
    <w:p w14:paraId="3C4F4FF8" w14:textId="6DA07A4D" w:rsidR="0070047B" w:rsidRDefault="0070047B" w:rsidP="00CD5AEC">
      <w:pPr>
        <w:spacing w:after="120" w:line="240" w:lineRule="auto"/>
        <w:rPr>
          <w:rFonts w:ascii="Times New Roman" w:hAnsi="Times New Roman" w:cs="Times New Roman"/>
          <w:sz w:val="24"/>
          <w:szCs w:val="24"/>
        </w:rPr>
      </w:pPr>
      <w:r w:rsidRPr="00EB0E51">
        <w:rPr>
          <w:rFonts w:ascii="Times New Roman" w:hAnsi="Times New Roman" w:cs="Times New Roman"/>
          <w:sz w:val="24"/>
          <w:szCs w:val="24"/>
        </w:rPr>
        <w:t>Les scores globaux moyens par spéculation, révèlent que le cél</w:t>
      </w:r>
      <w:r w:rsidR="00992968">
        <w:rPr>
          <w:rFonts w:ascii="Times New Roman" w:hAnsi="Times New Roman" w:cs="Times New Roman"/>
          <w:sz w:val="24"/>
          <w:szCs w:val="24"/>
        </w:rPr>
        <w:t>eri (</w:t>
      </w:r>
      <w:r w:rsidR="00C34526">
        <w:rPr>
          <w:rFonts w:ascii="Times New Roman" w:hAnsi="Times New Roman" w:cs="Times New Roman"/>
          <w:sz w:val="24"/>
          <w:szCs w:val="24"/>
        </w:rPr>
        <w:t xml:space="preserve">Score = </w:t>
      </w:r>
      <w:r w:rsidR="00992968">
        <w:rPr>
          <w:rFonts w:ascii="Times New Roman" w:hAnsi="Times New Roman" w:cs="Times New Roman"/>
          <w:sz w:val="24"/>
          <w:szCs w:val="24"/>
        </w:rPr>
        <w:t>41) possède un score plus</w:t>
      </w:r>
      <w:r>
        <w:rPr>
          <w:rFonts w:ascii="Times New Roman" w:hAnsi="Times New Roman" w:cs="Times New Roman"/>
          <w:sz w:val="24"/>
          <w:szCs w:val="24"/>
        </w:rPr>
        <w:t xml:space="preserve"> </w:t>
      </w:r>
      <w:r w:rsidRPr="00EB0E51">
        <w:rPr>
          <w:rFonts w:ascii="Times New Roman" w:hAnsi="Times New Roman" w:cs="Times New Roman"/>
          <w:sz w:val="24"/>
          <w:szCs w:val="24"/>
        </w:rPr>
        <w:t>important suivi du poivron (</w:t>
      </w:r>
      <w:r w:rsidR="00C34526">
        <w:rPr>
          <w:rFonts w:ascii="Times New Roman" w:hAnsi="Times New Roman" w:cs="Times New Roman"/>
          <w:sz w:val="24"/>
          <w:szCs w:val="24"/>
        </w:rPr>
        <w:t xml:space="preserve">Score = </w:t>
      </w:r>
      <w:r w:rsidRPr="00EB0E51">
        <w:rPr>
          <w:rFonts w:ascii="Times New Roman" w:hAnsi="Times New Roman" w:cs="Times New Roman"/>
          <w:sz w:val="24"/>
          <w:szCs w:val="24"/>
        </w:rPr>
        <w:t xml:space="preserve">34). </w:t>
      </w:r>
      <w:r w:rsidR="00F3575C">
        <w:rPr>
          <w:rFonts w:ascii="Times New Roman" w:hAnsi="Times New Roman" w:cs="Times New Roman"/>
          <w:sz w:val="24"/>
          <w:szCs w:val="24"/>
        </w:rPr>
        <w:t>Cependant,</w:t>
      </w:r>
      <w:r w:rsidR="00F3575C" w:rsidRPr="00EB0E51">
        <w:rPr>
          <w:rFonts w:ascii="Times New Roman" w:hAnsi="Times New Roman" w:cs="Times New Roman"/>
          <w:sz w:val="24"/>
          <w:szCs w:val="24"/>
        </w:rPr>
        <w:t xml:space="preserve"> </w:t>
      </w:r>
      <w:r w:rsidRPr="00EB0E51">
        <w:rPr>
          <w:rFonts w:ascii="Times New Roman" w:hAnsi="Times New Roman" w:cs="Times New Roman"/>
          <w:sz w:val="24"/>
          <w:szCs w:val="24"/>
        </w:rPr>
        <w:t>il existe une dispersion d</w:t>
      </w:r>
      <w:r>
        <w:rPr>
          <w:rFonts w:ascii="Times New Roman" w:hAnsi="Times New Roman" w:cs="Times New Roman"/>
          <w:sz w:val="24"/>
          <w:szCs w:val="24"/>
        </w:rPr>
        <w:t xml:space="preserve">es valeurs des </w:t>
      </w:r>
      <w:r w:rsidR="007F29FC">
        <w:rPr>
          <w:rFonts w:ascii="Times New Roman" w:hAnsi="Times New Roman" w:cs="Times New Roman"/>
          <w:sz w:val="24"/>
          <w:szCs w:val="24"/>
        </w:rPr>
        <w:t>scores reflétant</w:t>
      </w:r>
      <w:r w:rsidR="00191830">
        <w:rPr>
          <w:rFonts w:ascii="Times New Roman" w:hAnsi="Times New Roman" w:cs="Times New Roman"/>
          <w:sz w:val="24"/>
          <w:szCs w:val="24"/>
        </w:rPr>
        <w:t xml:space="preserve"> une disparité des pratiques des producteurs</w:t>
      </w:r>
      <w:r w:rsidRPr="00EB0E51">
        <w:rPr>
          <w:rFonts w:ascii="Times New Roman" w:hAnsi="Times New Roman" w:cs="Times New Roman"/>
          <w:sz w:val="24"/>
          <w:szCs w:val="24"/>
        </w:rPr>
        <w:t>. Ainsi</w:t>
      </w:r>
      <w:r w:rsidR="00CF1A2D">
        <w:rPr>
          <w:rFonts w:ascii="Times New Roman" w:hAnsi="Times New Roman" w:cs="Times New Roman"/>
          <w:sz w:val="24"/>
          <w:szCs w:val="24"/>
        </w:rPr>
        <w:t>,</w:t>
      </w:r>
      <w:r w:rsidRPr="00EB0E51">
        <w:rPr>
          <w:rFonts w:ascii="Times New Roman" w:hAnsi="Times New Roman" w:cs="Times New Roman"/>
          <w:sz w:val="24"/>
          <w:szCs w:val="24"/>
        </w:rPr>
        <w:t xml:space="preserve"> </w:t>
      </w:r>
      <w:r w:rsidR="00191830">
        <w:rPr>
          <w:rFonts w:ascii="Times New Roman" w:hAnsi="Times New Roman" w:cs="Times New Roman"/>
          <w:sz w:val="24"/>
          <w:szCs w:val="24"/>
        </w:rPr>
        <w:t xml:space="preserve">cette dispersion est plus remarquable sur </w:t>
      </w:r>
      <w:r w:rsidRPr="00EB0E51">
        <w:rPr>
          <w:rFonts w:ascii="Times New Roman" w:hAnsi="Times New Roman" w:cs="Times New Roman"/>
          <w:sz w:val="24"/>
          <w:szCs w:val="24"/>
        </w:rPr>
        <w:t>le poivron</w:t>
      </w:r>
      <w:r w:rsidR="00992968">
        <w:rPr>
          <w:rFonts w:ascii="Times New Roman" w:hAnsi="Times New Roman" w:cs="Times New Roman"/>
          <w:sz w:val="24"/>
          <w:szCs w:val="24"/>
        </w:rPr>
        <w:t>, la laitue et la tomate</w:t>
      </w:r>
      <w:r w:rsidRPr="00EB0E51">
        <w:rPr>
          <w:rFonts w:ascii="Times New Roman" w:hAnsi="Times New Roman" w:cs="Times New Roman"/>
          <w:sz w:val="24"/>
          <w:szCs w:val="24"/>
        </w:rPr>
        <w:t xml:space="preserve"> (figure </w:t>
      </w:r>
      <w:r w:rsidR="00E72241">
        <w:rPr>
          <w:rFonts w:ascii="Times New Roman" w:hAnsi="Times New Roman" w:cs="Times New Roman"/>
          <w:sz w:val="24"/>
          <w:szCs w:val="24"/>
        </w:rPr>
        <w:t>5</w:t>
      </w:r>
      <w:r w:rsidRPr="00EB0E51">
        <w:rPr>
          <w:rFonts w:ascii="Times New Roman" w:hAnsi="Times New Roman" w:cs="Times New Roman"/>
          <w:sz w:val="24"/>
          <w:szCs w:val="24"/>
        </w:rPr>
        <w:t xml:space="preserve">), </w:t>
      </w:r>
      <w:r w:rsidR="00191830">
        <w:rPr>
          <w:rFonts w:ascii="Times New Roman" w:hAnsi="Times New Roman" w:cs="Times New Roman"/>
          <w:sz w:val="24"/>
          <w:szCs w:val="24"/>
        </w:rPr>
        <w:t xml:space="preserve">contrairement au </w:t>
      </w:r>
      <w:r w:rsidRPr="00EB0E51">
        <w:rPr>
          <w:rFonts w:ascii="Times New Roman" w:hAnsi="Times New Roman" w:cs="Times New Roman"/>
          <w:sz w:val="24"/>
          <w:szCs w:val="24"/>
        </w:rPr>
        <w:t>céleri</w:t>
      </w:r>
      <w:r w:rsidR="007F29FC">
        <w:rPr>
          <w:rFonts w:ascii="Times New Roman" w:hAnsi="Times New Roman" w:cs="Times New Roman"/>
          <w:sz w:val="24"/>
          <w:szCs w:val="24"/>
        </w:rPr>
        <w:t>.</w:t>
      </w:r>
      <w:r w:rsidR="00EC31D0">
        <w:rPr>
          <w:rFonts w:ascii="Times New Roman" w:hAnsi="Times New Roman" w:cs="Times New Roman"/>
          <w:sz w:val="24"/>
          <w:szCs w:val="24"/>
        </w:rPr>
        <w:t xml:space="preserve"> En général l’ensemble des spéculations présente un risque global négligeable pour l’environnement.</w:t>
      </w:r>
    </w:p>
    <w:p w14:paraId="4080C373" w14:textId="76C26C64" w:rsidR="002B2B43" w:rsidRDefault="002B2B43" w:rsidP="00CD5AEC">
      <w:pPr>
        <w:spacing w:after="120" w:line="240" w:lineRule="auto"/>
        <w:rPr>
          <w:rFonts w:ascii="Times New Roman" w:hAnsi="Times New Roman" w:cs="Times New Roman"/>
          <w:sz w:val="24"/>
          <w:szCs w:val="24"/>
        </w:rPr>
      </w:pPr>
    </w:p>
    <w:p w14:paraId="3400F411" w14:textId="77777777" w:rsidR="002B2B43" w:rsidRDefault="002B2B43" w:rsidP="002B2B43">
      <w:pPr>
        <w:spacing w:line="240" w:lineRule="auto"/>
        <w:jc w:val="center"/>
        <w:rPr>
          <w:rFonts w:ascii="Times New Roman" w:hAnsi="Times New Roman" w:cs="Times New Roman"/>
          <w:sz w:val="24"/>
          <w:szCs w:val="24"/>
        </w:rPr>
      </w:pPr>
      <w:r w:rsidRPr="002B0A31">
        <w:rPr>
          <w:noProof/>
          <w:lang w:eastAsia="fr-FR"/>
        </w:rPr>
        <w:drawing>
          <wp:inline distT="0" distB="0" distL="0" distR="0" wp14:anchorId="4E56A57F" wp14:editId="51BE537A">
            <wp:extent cx="3657600" cy="2189787"/>
            <wp:effectExtent l="0" t="0" r="0" b="127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76873" cy="2201326"/>
                    </a:xfrm>
                    <a:prstGeom prst="rect">
                      <a:avLst/>
                    </a:prstGeom>
                    <a:noFill/>
                    <a:ln>
                      <a:noFill/>
                    </a:ln>
                  </pic:spPr>
                </pic:pic>
              </a:graphicData>
            </a:graphic>
          </wp:inline>
        </w:drawing>
      </w:r>
    </w:p>
    <w:p w14:paraId="23A00E70" w14:textId="77777777" w:rsidR="002B2B43" w:rsidRPr="002B2B43" w:rsidRDefault="002B2B43" w:rsidP="002B2B43">
      <w:pPr>
        <w:spacing w:line="240" w:lineRule="auto"/>
        <w:ind w:left="1843"/>
        <w:rPr>
          <w:rFonts w:ascii="Times New Roman" w:hAnsi="Times New Roman" w:cs="Times New Roman"/>
          <w:sz w:val="20"/>
          <w:szCs w:val="20"/>
        </w:rPr>
      </w:pPr>
      <w:r w:rsidRPr="002B2B43">
        <w:rPr>
          <w:rFonts w:ascii="Times New Roman" w:hAnsi="Times New Roman" w:cs="Times New Roman"/>
          <w:b/>
          <w:sz w:val="20"/>
          <w:szCs w:val="20"/>
        </w:rPr>
        <w:t xml:space="preserve">Figure </w:t>
      </w:r>
      <w:proofErr w:type="gramStart"/>
      <w:r w:rsidRPr="002B2B43">
        <w:rPr>
          <w:rFonts w:ascii="Times New Roman" w:hAnsi="Times New Roman" w:cs="Times New Roman"/>
          <w:b/>
          <w:sz w:val="20"/>
          <w:szCs w:val="20"/>
        </w:rPr>
        <w:t>5:</w:t>
      </w:r>
      <w:proofErr w:type="gramEnd"/>
      <w:r w:rsidRPr="002B2B43">
        <w:rPr>
          <w:rFonts w:ascii="Times New Roman" w:hAnsi="Times New Roman" w:cs="Times New Roman"/>
          <w:b/>
          <w:sz w:val="20"/>
          <w:szCs w:val="20"/>
        </w:rPr>
        <w:t xml:space="preserve"> </w:t>
      </w:r>
      <w:r w:rsidRPr="002B2B43">
        <w:rPr>
          <w:rFonts w:ascii="Times New Roman" w:hAnsi="Times New Roman" w:cs="Times New Roman"/>
          <w:sz w:val="20"/>
          <w:szCs w:val="20"/>
        </w:rPr>
        <w:t>Scores globaux moyens des principales spéculations des sites</w:t>
      </w:r>
    </w:p>
    <w:p w14:paraId="1BC530AA" w14:textId="77777777" w:rsidR="002B2B43" w:rsidRDefault="002B2B43" w:rsidP="00CD5AEC">
      <w:pPr>
        <w:spacing w:after="120" w:line="240" w:lineRule="auto"/>
        <w:rPr>
          <w:rFonts w:ascii="Times New Roman" w:hAnsi="Times New Roman" w:cs="Times New Roman"/>
          <w:sz w:val="24"/>
          <w:szCs w:val="24"/>
        </w:rPr>
      </w:pPr>
    </w:p>
    <w:p w14:paraId="7450D132" w14:textId="0CBDB0BF" w:rsidR="0070047B" w:rsidRPr="00EB7D2E" w:rsidRDefault="0070047B" w:rsidP="00CD5AEC">
      <w:pPr>
        <w:pStyle w:val="Paragraphedeliste"/>
        <w:numPr>
          <w:ilvl w:val="1"/>
          <w:numId w:val="7"/>
        </w:numPr>
        <w:spacing w:after="120" w:line="240" w:lineRule="auto"/>
        <w:ind w:left="425" w:hanging="425"/>
        <w:contextualSpacing w:val="0"/>
        <w:rPr>
          <w:rFonts w:ascii="Times New Roman" w:hAnsi="Times New Roman" w:cs="Times New Roman"/>
          <w:b/>
          <w:sz w:val="24"/>
          <w:szCs w:val="24"/>
        </w:rPr>
      </w:pPr>
      <w:r w:rsidRPr="00EB7D2E">
        <w:rPr>
          <w:rFonts w:ascii="Times New Roman" w:hAnsi="Times New Roman" w:cs="Times New Roman"/>
          <w:b/>
          <w:sz w:val="24"/>
          <w:szCs w:val="24"/>
        </w:rPr>
        <w:t xml:space="preserve">Scores globaux moyens de « EPRIP » par matière active </w:t>
      </w:r>
    </w:p>
    <w:p w14:paraId="5B76672B" w14:textId="2B7B4288" w:rsidR="0070047B" w:rsidRDefault="0070047B" w:rsidP="00EB7D2E">
      <w:pPr>
        <w:spacing w:line="240" w:lineRule="auto"/>
        <w:rPr>
          <w:rFonts w:ascii="Times New Roman" w:hAnsi="Times New Roman" w:cs="Times New Roman"/>
          <w:sz w:val="24"/>
          <w:szCs w:val="24"/>
        </w:rPr>
      </w:pPr>
      <w:r w:rsidRPr="00EB0E51">
        <w:rPr>
          <w:rFonts w:ascii="Times New Roman" w:hAnsi="Times New Roman" w:cs="Times New Roman"/>
          <w:sz w:val="24"/>
          <w:szCs w:val="24"/>
        </w:rPr>
        <w:t xml:space="preserve">L’analyse des valeurs de score moyen par matière active </w:t>
      </w:r>
      <w:r w:rsidR="007F29FC">
        <w:rPr>
          <w:rFonts w:ascii="Times New Roman" w:hAnsi="Times New Roman" w:cs="Times New Roman"/>
          <w:sz w:val="24"/>
          <w:szCs w:val="24"/>
        </w:rPr>
        <w:t>révèle</w:t>
      </w:r>
      <w:r w:rsidR="00191830">
        <w:rPr>
          <w:rFonts w:ascii="Times New Roman" w:hAnsi="Times New Roman" w:cs="Times New Roman"/>
          <w:sz w:val="24"/>
          <w:szCs w:val="24"/>
        </w:rPr>
        <w:t xml:space="preserve"> des scores assez </w:t>
      </w:r>
      <w:r w:rsidR="007F29FC">
        <w:rPr>
          <w:rFonts w:ascii="Times New Roman" w:hAnsi="Times New Roman" w:cs="Times New Roman"/>
          <w:sz w:val="24"/>
          <w:szCs w:val="24"/>
        </w:rPr>
        <w:t>élevés</w:t>
      </w:r>
      <w:r w:rsidR="00191830">
        <w:rPr>
          <w:rFonts w:ascii="Times New Roman" w:hAnsi="Times New Roman" w:cs="Times New Roman"/>
          <w:sz w:val="24"/>
          <w:szCs w:val="24"/>
        </w:rPr>
        <w:t xml:space="preserve"> pour </w:t>
      </w:r>
      <w:r>
        <w:rPr>
          <w:rFonts w:ascii="Times New Roman" w:hAnsi="Times New Roman" w:cs="Times New Roman"/>
          <w:sz w:val="24"/>
          <w:szCs w:val="24"/>
        </w:rPr>
        <w:t>l’</w:t>
      </w:r>
      <w:proofErr w:type="spellStart"/>
      <w:r>
        <w:rPr>
          <w:rFonts w:ascii="Times New Roman" w:hAnsi="Times New Roman" w:cs="Times New Roman"/>
          <w:sz w:val="24"/>
          <w:szCs w:val="24"/>
        </w:rPr>
        <w:t>abamectine</w:t>
      </w:r>
      <w:proofErr w:type="spellEnd"/>
      <w:r>
        <w:rPr>
          <w:rFonts w:ascii="Times New Roman" w:hAnsi="Times New Roman" w:cs="Times New Roman"/>
          <w:sz w:val="24"/>
          <w:szCs w:val="24"/>
        </w:rPr>
        <w:t xml:space="preserve"> (</w:t>
      </w:r>
      <w:r w:rsidR="00992968">
        <w:rPr>
          <w:rFonts w:ascii="Times New Roman" w:hAnsi="Times New Roman" w:cs="Times New Roman"/>
          <w:sz w:val="24"/>
          <w:szCs w:val="24"/>
        </w:rPr>
        <w:t xml:space="preserve">score = </w:t>
      </w:r>
      <w:r>
        <w:rPr>
          <w:rFonts w:ascii="Times New Roman" w:hAnsi="Times New Roman" w:cs="Times New Roman"/>
          <w:sz w:val="24"/>
          <w:szCs w:val="24"/>
        </w:rPr>
        <w:t xml:space="preserve">69), le </w:t>
      </w:r>
      <w:r w:rsidRPr="00EB0E51">
        <w:rPr>
          <w:rFonts w:ascii="Times New Roman" w:hAnsi="Times New Roman" w:cs="Times New Roman"/>
          <w:sz w:val="24"/>
          <w:szCs w:val="24"/>
        </w:rPr>
        <w:t>cyperméthrine (</w:t>
      </w:r>
      <w:r w:rsidR="00992968">
        <w:rPr>
          <w:rFonts w:ascii="Times New Roman" w:hAnsi="Times New Roman" w:cs="Times New Roman"/>
          <w:sz w:val="24"/>
          <w:szCs w:val="24"/>
        </w:rPr>
        <w:t xml:space="preserve">score = </w:t>
      </w:r>
      <w:r w:rsidRPr="00EB0E51">
        <w:rPr>
          <w:rFonts w:ascii="Times New Roman" w:hAnsi="Times New Roman" w:cs="Times New Roman"/>
          <w:sz w:val="24"/>
          <w:szCs w:val="24"/>
        </w:rPr>
        <w:t xml:space="preserve">65) et le </w:t>
      </w:r>
      <w:proofErr w:type="spellStart"/>
      <w:r w:rsidRPr="00EB0E51">
        <w:rPr>
          <w:rFonts w:ascii="Times New Roman" w:hAnsi="Times New Roman" w:cs="Times New Roman"/>
          <w:sz w:val="24"/>
          <w:szCs w:val="24"/>
        </w:rPr>
        <w:t>méthomyl</w:t>
      </w:r>
      <w:proofErr w:type="spellEnd"/>
      <w:r w:rsidRPr="00EB0E51">
        <w:rPr>
          <w:rFonts w:ascii="Times New Roman" w:hAnsi="Times New Roman" w:cs="Times New Roman"/>
          <w:sz w:val="24"/>
          <w:szCs w:val="24"/>
        </w:rPr>
        <w:t xml:space="preserve"> (</w:t>
      </w:r>
      <w:r w:rsidR="00992968">
        <w:rPr>
          <w:rFonts w:ascii="Times New Roman" w:hAnsi="Times New Roman" w:cs="Times New Roman"/>
          <w:sz w:val="24"/>
          <w:szCs w:val="24"/>
        </w:rPr>
        <w:t>score =</w:t>
      </w:r>
      <w:r w:rsidRPr="00EB0E51">
        <w:rPr>
          <w:rFonts w:ascii="Times New Roman" w:hAnsi="Times New Roman" w:cs="Times New Roman"/>
          <w:sz w:val="24"/>
          <w:szCs w:val="24"/>
        </w:rPr>
        <w:t>52)</w:t>
      </w:r>
      <w:r w:rsidR="00191830">
        <w:rPr>
          <w:rFonts w:ascii="Times New Roman" w:hAnsi="Times New Roman" w:cs="Times New Roman"/>
          <w:sz w:val="24"/>
          <w:szCs w:val="24"/>
        </w:rPr>
        <w:t>.</w:t>
      </w:r>
      <w:r>
        <w:rPr>
          <w:rFonts w:ascii="Times New Roman" w:hAnsi="Times New Roman" w:cs="Times New Roman"/>
          <w:sz w:val="24"/>
          <w:szCs w:val="24"/>
        </w:rPr>
        <w:t xml:space="preserve"> </w:t>
      </w:r>
      <w:r w:rsidRPr="00EB0E51">
        <w:rPr>
          <w:rFonts w:ascii="Times New Roman" w:hAnsi="Times New Roman" w:cs="Times New Roman"/>
          <w:sz w:val="24"/>
          <w:szCs w:val="24"/>
        </w:rPr>
        <w:t>A l’opposé, l’</w:t>
      </w:r>
      <w:proofErr w:type="spellStart"/>
      <w:r w:rsidRPr="00EB0E51">
        <w:rPr>
          <w:rFonts w:ascii="Times New Roman" w:hAnsi="Times New Roman" w:cs="Times New Roman"/>
          <w:sz w:val="24"/>
          <w:szCs w:val="24"/>
        </w:rPr>
        <w:t>acétamipride</w:t>
      </w:r>
      <w:proofErr w:type="spellEnd"/>
      <w:r w:rsidRPr="00EB0E51">
        <w:rPr>
          <w:rFonts w:ascii="Times New Roman" w:hAnsi="Times New Roman" w:cs="Times New Roman"/>
          <w:sz w:val="24"/>
          <w:szCs w:val="24"/>
        </w:rPr>
        <w:t xml:space="preserve"> (</w:t>
      </w:r>
      <w:r w:rsidR="00992968">
        <w:rPr>
          <w:rFonts w:ascii="Times New Roman" w:hAnsi="Times New Roman" w:cs="Times New Roman"/>
          <w:sz w:val="24"/>
          <w:szCs w:val="24"/>
        </w:rPr>
        <w:t xml:space="preserve">score = </w:t>
      </w:r>
      <w:r w:rsidRPr="00EB0E51">
        <w:rPr>
          <w:rFonts w:ascii="Times New Roman" w:hAnsi="Times New Roman" w:cs="Times New Roman"/>
          <w:sz w:val="24"/>
          <w:szCs w:val="24"/>
        </w:rPr>
        <w:t xml:space="preserve">33), le </w:t>
      </w:r>
      <w:proofErr w:type="spellStart"/>
      <w:r w:rsidRPr="00EB0E51">
        <w:rPr>
          <w:rFonts w:ascii="Times New Roman" w:hAnsi="Times New Roman" w:cs="Times New Roman"/>
          <w:sz w:val="24"/>
          <w:szCs w:val="24"/>
        </w:rPr>
        <w:t>deltaméthrine</w:t>
      </w:r>
      <w:proofErr w:type="spellEnd"/>
      <w:r w:rsidRPr="00EB0E51">
        <w:rPr>
          <w:rFonts w:ascii="Times New Roman" w:hAnsi="Times New Roman" w:cs="Times New Roman"/>
          <w:sz w:val="24"/>
          <w:szCs w:val="24"/>
        </w:rPr>
        <w:t xml:space="preserve"> (</w:t>
      </w:r>
      <w:r w:rsidR="00992968">
        <w:rPr>
          <w:rFonts w:ascii="Times New Roman" w:hAnsi="Times New Roman" w:cs="Times New Roman"/>
          <w:sz w:val="24"/>
          <w:szCs w:val="24"/>
        </w:rPr>
        <w:t xml:space="preserve">score = </w:t>
      </w:r>
      <w:r w:rsidRPr="00EB0E51">
        <w:rPr>
          <w:rFonts w:ascii="Times New Roman" w:hAnsi="Times New Roman" w:cs="Times New Roman"/>
          <w:sz w:val="24"/>
          <w:szCs w:val="24"/>
        </w:rPr>
        <w:t xml:space="preserve">20) et le </w:t>
      </w:r>
      <w:r>
        <w:rPr>
          <w:rFonts w:ascii="Times New Roman" w:hAnsi="Times New Roman" w:cs="Times New Roman"/>
          <w:sz w:val="24"/>
          <w:szCs w:val="24"/>
        </w:rPr>
        <w:t>lambda-</w:t>
      </w:r>
      <w:proofErr w:type="spellStart"/>
      <w:r>
        <w:rPr>
          <w:rFonts w:ascii="Times New Roman" w:hAnsi="Times New Roman" w:cs="Times New Roman"/>
          <w:sz w:val="24"/>
          <w:szCs w:val="24"/>
        </w:rPr>
        <w:t>cyhalothrine</w:t>
      </w:r>
      <w:proofErr w:type="spellEnd"/>
      <w:r>
        <w:rPr>
          <w:rFonts w:ascii="Times New Roman" w:hAnsi="Times New Roman" w:cs="Times New Roman"/>
          <w:sz w:val="24"/>
          <w:szCs w:val="24"/>
        </w:rPr>
        <w:t xml:space="preserve"> (</w:t>
      </w:r>
      <w:r w:rsidR="00992968">
        <w:rPr>
          <w:rFonts w:ascii="Times New Roman" w:hAnsi="Times New Roman" w:cs="Times New Roman"/>
          <w:sz w:val="24"/>
          <w:szCs w:val="24"/>
        </w:rPr>
        <w:t xml:space="preserve">score = </w:t>
      </w:r>
      <w:r>
        <w:rPr>
          <w:rFonts w:ascii="Times New Roman" w:hAnsi="Times New Roman" w:cs="Times New Roman"/>
          <w:sz w:val="24"/>
          <w:szCs w:val="24"/>
        </w:rPr>
        <w:t xml:space="preserve">17) ont un </w:t>
      </w:r>
      <w:r w:rsidRPr="00EB0E51">
        <w:rPr>
          <w:rFonts w:ascii="Times New Roman" w:hAnsi="Times New Roman" w:cs="Times New Roman"/>
          <w:sz w:val="24"/>
          <w:szCs w:val="24"/>
        </w:rPr>
        <w:t xml:space="preserve">score beaucoup plus bas (figure </w:t>
      </w:r>
      <w:r w:rsidR="00E72241">
        <w:rPr>
          <w:rFonts w:ascii="Times New Roman" w:hAnsi="Times New Roman" w:cs="Times New Roman"/>
          <w:sz w:val="24"/>
          <w:szCs w:val="24"/>
        </w:rPr>
        <w:t>6</w:t>
      </w:r>
      <w:r w:rsidRPr="00EB0E51">
        <w:rPr>
          <w:rFonts w:ascii="Times New Roman" w:hAnsi="Times New Roman" w:cs="Times New Roman"/>
          <w:sz w:val="24"/>
          <w:szCs w:val="24"/>
        </w:rPr>
        <w:t xml:space="preserve">). </w:t>
      </w:r>
      <w:r w:rsidR="00EC31D0">
        <w:rPr>
          <w:rFonts w:ascii="Times New Roman" w:hAnsi="Times New Roman" w:cs="Times New Roman"/>
          <w:sz w:val="24"/>
          <w:szCs w:val="24"/>
        </w:rPr>
        <w:t>Cependant on note une forte variabil</w:t>
      </w:r>
      <w:r w:rsidR="00730416">
        <w:rPr>
          <w:rFonts w:ascii="Times New Roman" w:hAnsi="Times New Roman" w:cs="Times New Roman"/>
          <w:sz w:val="24"/>
          <w:szCs w:val="24"/>
        </w:rPr>
        <w:t>i</w:t>
      </w:r>
      <w:r w:rsidR="00EC31D0">
        <w:rPr>
          <w:rFonts w:ascii="Times New Roman" w:hAnsi="Times New Roman" w:cs="Times New Roman"/>
          <w:sz w:val="24"/>
          <w:szCs w:val="24"/>
        </w:rPr>
        <w:t>té avec l’</w:t>
      </w:r>
      <w:proofErr w:type="spellStart"/>
      <w:r w:rsidR="00EC31D0">
        <w:rPr>
          <w:rFonts w:ascii="Times New Roman" w:hAnsi="Times New Roman" w:cs="Times New Roman"/>
          <w:sz w:val="24"/>
          <w:szCs w:val="24"/>
        </w:rPr>
        <w:t>abamectine</w:t>
      </w:r>
      <w:proofErr w:type="spellEnd"/>
      <w:r w:rsidR="00EC31D0">
        <w:rPr>
          <w:rFonts w:ascii="Times New Roman" w:hAnsi="Times New Roman" w:cs="Times New Roman"/>
          <w:sz w:val="24"/>
          <w:szCs w:val="24"/>
        </w:rPr>
        <w:t xml:space="preserve"> et le </w:t>
      </w:r>
      <w:proofErr w:type="spellStart"/>
      <w:r w:rsidR="00EC31D0">
        <w:rPr>
          <w:rFonts w:ascii="Times New Roman" w:hAnsi="Times New Roman" w:cs="Times New Roman"/>
          <w:sz w:val="24"/>
          <w:szCs w:val="24"/>
        </w:rPr>
        <w:t>cypermethrine</w:t>
      </w:r>
      <w:proofErr w:type="spellEnd"/>
      <w:r w:rsidR="00EC31D0">
        <w:rPr>
          <w:rFonts w:ascii="Times New Roman" w:hAnsi="Times New Roman" w:cs="Times New Roman"/>
          <w:sz w:val="24"/>
          <w:szCs w:val="24"/>
        </w:rPr>
        <w:t xml:space="preserve"> dont les scores atteignent 100 à 110 </w:t>
      </w:r>
      <w:r w:rsidR="0071588D">
        <w:rPr>
          <w:rFonts w:ascii="Times New Roman" w:hAnsi="Times New Roman" w:cs="Times New Roman"/>
          <w:sz w:val="24"/>
          <w:szCs w:val="24"/>
        </w:rPr>
        <w:t>dans</w:t>
      </w:r>
      <w:r w:rsidR="00EC31D0">
        <w:rPr>
          <w:rFonts w:ascii="Times New Roman" w:hAnsi="Times New Roman" w:cs="Times New Roman"/>
          <w:sz w:val="24"/>
          <w:szCs w:val="24"/>
        </w:rPr>
        <w:t xml:space="preserve"> certaines exploitations avec des risques pour l’environnement.</w:t>
      </w:r>
    </w:p>
    <w:p w14:paraId="32B422D0" w14:textId="489D1A36" w:rsidR="002B2B43" w:rsidRDefault="002B2B43" w:rsidP="00EB7D2E">
      <w:pPr>
        <w:spacing w:line="240" w:lineRule="auto"/>
        <w:rPr>
          <w:rFonts w:ascii="Times New Roman" w:hAnsi="Times New Roman" w:cs="Times New Roman"/>
          <w:sz w:val="24"/>
          <w:szCs w:val="24"/>
        </w:rPr>
      </w:pPr>
    </w:p>
    <w:p w14:paraId="628D64D4" w14:textId="77777777" w:rsidR="002B2B43" w:rsidRDefault="002B2B43" w:rsidP="002B2B43">
      <w:pPr>
        <w:spacing w:line="240" w:lineRule="auto"/>
        <w:jc w:val="center"/>
        <w:rPr>
          <w:rFonts w:ascii="Times New Roman" w:hAnsi="Times New Roman" w:cs="Times New Roman"/>
          <w:sz w:val="24"/>
          <w:szCs w:val="24"/>
        </w:rPr>
      </w:pPr>
      <w:r w:rsidRPr="009E6651">
        <w:rPr>
          <w:noProof/>
          <w:lang w:eastAsia="fr-FR"/>
        </w:rPr>
        <w:drawing>
          <wp:inline distT="0" distB="0" distL="0" distR="0" wp14:anchorId="7B6099B3" wp14:editId="370C153C">
            <wp:extent cx="3642970" cy="2756353"/>
            <wp:effectExtent l="0" t="0" r="0" b="635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87466" cy="2790020"/>
                    </a:xfrm>
                    <a:prstGeom prst="rect">
                      <a:avLst/>
                    </a:prstGeom>
                    <a:noFill/>
                    <a:ln>
                      <a:noFill/>
                    </a:ln>
                  </pic:spPr>
                </pic:pic>
              </a:graphicData>
            </a:graphic>
          </wp:inline>
        </w:drawing>
      </w:r>
    </w:p>
    <w:p w14:paraId="6561FE2B" w14:textId="77777777" w:rsidR="002B2B43" w:rsidRPr="002B2B43" w:rsidRDefault="002B2B43" w:rsidP="002B2B43">
      <w:pPr>
        <w:spacing w:line="240" w:lineRule="auto"/>
        <w:ind w:left="993"/>
        <w:rPr>
          <w:rFonts w:ascii="Times New Roman" w:hAnsi="Times New Roman" w:cs="Times New Roman"/>
          <w:sz w:val="20"/>
          <w:szCs w:val="20"/>
          <w:lang w:val="fr-BE"/>
        </w:rPr>
      </w:pPr>
      <w:bookmarkStart w:id="6" w:name="_Toc499794930"/>
      <w:r w:rsidRPr="002B2B43">
        <w:rPr>
          <w:rFonts w:ascii="Times New Roman" w:hAnsi="Times New Roman" w:cs="Times New Roman"/>
          <w:b/>
          <w:sz w:val="20"/>
          <w:szCs w:val="20"/>
        </w:rPr>
        <w:t xml:space="preserve">Figure 6 : </w:t>
      </w:r>
      <w:r w:rsidRPr="002B2B43">
        <w:rPr>
          <w:rFonts w:ascii="Times New Roman" w:hAnsi="Times New Roman" w:cs="Times New Roman"/>
          <w:sz w:val="20"/>
          <w:szCs w:val="20"/>
        </w:rPr>
        <w:t>Scores moyens de « EPRIP » des principales matières active</w:t>
      </w:r>
      <w:bookmarkEnd w:id="6"/>
      <w:r w:rsidRPr="002B2B43">
        <w:rPr>
          <w:rFonts w:ascii="Times New Roman" w:hAnsi="Times New Roman" w:cs="Times New Roman"/>
          <w:sz w:val="20"/>
          <w:szCs w:val="20"/>
        </w:rPr>
        <w:t>s utilisées sur les sites</w:t>
      </w:r>
    </w:p>
    <w:p w14:paraId="4E036D59" w14:textId="63DDAABA" w:rsidR="002B2B43" w:rsidRDefault="002B2B43" w:rsidP="00EB7D2E">
      <w:pPr>
        <w:spacing w:line="240" w:lineRule="auto"/>
        <w:rPr>
          <w:rFonts w:ascii="Times New Roman" w:hAnsi="Times New Roman" w:cs="Times New Roman"/>
          <w:sz w:val="24"/>
          <w:szCs w:val="24"/>
          <w:lang w:val="fr-BE"/>
        </w:rPr>
      </w:pPr>
    </w:p>
    <w:p w14:paraId="49EB7C9C" w14:textId="77777777" w:rsidR="009E6C21" w:rsidRPr="002B2B43" w:rsidRDefault="009E6C21" w:rsidP="00EB7D2E">
      <w:pPr>
        <w:spacing w:line="240" w:lineRule="auto"/>
        <w:rPr>
          <w:rFonts w:ascii="Times New Roman" w:hAnsi="Times New Roman" w:cs="Times New Roman"/>
          <w:sz w:val="24"/>
          <w:szCs w:val="24"/>
          <w:lang w:val="fr-BE"/>
        </w:rPr>
      </w:pPr>
    </w:p>
    <w:p w14:paraId="022379FD" w14:textId="3D6CC7AF" w:rsidR="00386816" w:rsidRPr="00CD5AEC" w:rsidRDefault="00386816" w:rsidP="00CD5AEC">
      <w:pPr>
        <w:pStyle w:val="Paragraphedeliste"/>
        <w:numPr>
          <w:ilvl w:val="0"/>
          <w:numId w:val="4"/>
        </w:numPr>
        <w:spacing w:after="120" w:line="240" w:lineRule="auto"/>
        <w:ind w:left="284" w:hanging="284"/>
        <w:contextualSpacing w:val="0"/>
        <w:rPr>
          <w:rFonts w:ascii="Times New Roman" w:hAnsi="Times New Roman" w:cs="Times New Roman"/>
          <w:b/>
          <w:sz w:val="28"/>
          <w:szCs w:val="28"/>
        </w:rPr>
      </w:pPr>
      <w:r w:rsidRPr="00CD5AEC">
        <w:rPr>
          <w:rFonts w:ascii="Times New Roman" w:hAnsi="Times New Roman" w:cs="Times New Roman"/>
          <w:b/>
          <w:sz w:val="28"/>
          <w:szCs w:val="28"/>
        </w:rPr>
        <w:lastRenderedPageBreak/>
        <w:t>Discussion</w:t>
      </w:r>
    </w:p>
    <w:p w14:paraId="7F51E389" w14:textId="629EA91F" w:rsidR="005A423C" w:rsidRPr="007B3BD9" w:rsidRDefault="005A423C" w:rsidP="00CD5AEC">
      <w:pPr>
        <w:spacing w:after="120" w:line="240" w:lineRule="auto"/>
        <w:rPr>
          <w:rFonts w:ascii="Times New Roman" w:hAnsi="Times New Roman" w:cs="Times New Roman"/>
          <w:sz w:val="24"/>
          <w:szCs w:val="24"/>
        </w:rPr>
      </w:pPr>
      <w:r w:rsidRPr="007B3BD9">
        <w:rPr>
          <w:rFonts w:ascii="Times New Roman" w:hAnsi="Times New Roman" w:cs="Times New Roman"/>
          <w:sz w:val="24"/>
          <w:szCs w:val="24"/>
        </w:rPr>
        <w:t>Les maraîchers exploitent de petites superficies en milieu urbain. Cette exiguïté des exploitations en lien avec le morcellement de la propriété transmise par héritage et la pression de l'urbanisation (</w:t>
      </w:r>
      <w:r w:rsidR="00645F2B" w:rsidRPr="007B3BD9">
        <w:rPr>
          <w:rFonts w:ascii="Times New Roman" w:hAnsi="Times New Roman" w:cs="Times New Roman"/>
          <w:sz w:val="24"/>
          <w:szCs w:val="24"/>
        </w:rPr>
        <w:t xml:space="preserve">OUEDRAOGO </w:t>
      </w:r>
      <w:r w:rsidRPr="007B3BD9">
        <w:rPr>
          <w:rFonts w:ascii="Times New Roman" w:hAnsi="Times New Roman" w:cs="Times New Roman"/>
          <w:i/>
          <w:sz w:val="24"/>
          <w:szCs w:val="24"/>
        </w:rPr>
        <w:t>et</w:t>
      </w:r>
      <w:r w:rsidRPr="007B3BD9">
        <w:rPr>
          <w:rFonts w:ascii="Times New Roman" w:hAnsi="Times New Roman" w:cs="Times New Roman"/>
          <w:sz w:val="24"/>
          <w:szCs w:val="24"/>
        </w:rPr>
        <w:t xml:space="preserve"> </w:t>
      </w:r>
      <w:r w:rsidRPr="007B3BD9">
        <w:rPr>
          <w:rFonts w:ascii="Times New Roman" w:hAnsi="Times New Roman" w:cs="Times New Roman"/>
          <w:i/>
          <w:sz w:val="24"/>
          <w:szCs w:val="24"/>
        </w:rPr>
        <w:t xml:space="preserve">al., </w:t>
      </w:r>
      <w:r w:rsidRPr="007B3BD9">
        <w:rPr>
          <w:rFonts w:ascii="Times New Roman" w:hAnsi="Times New Roman" w:cs="Times New Roman"/>
          <w:sz w:val="24"/>
          <w:szCs w:val="24"/>
        </w:rPr>
        <w:t>201</w:t>
      </w:r>
      <w:r w:rsidR="006B4848" w:rsidRPr="007B3BD9">
        <w:rPr>
          <w:rFonts w:ascii="Times New Roman" w:hAnsi="Times New Roman" w:cs="Times New Roman"/>
          <w:sz w:val="24"/>
          <w:szCs w:val="24"/>
        </w:rPr>
        <w:t>9</w:t>
      </w:r>
      <w:r w:rsidRPr="007B3BD9">
        <w:rPr>
          <w:rFonts w:ascii="Times New Roman" w:hAnsi="Times New Roman" w:cs="Times New Roman"/>
          <w:sz w:val="24"/>
          <w:szCs w:val="24"/>
        </w:rPr>
        <w:t>), serait un facteur déterminant de l’option productiviste des maraichers à travers l’adoption des pratiques plus intensives (</w:t>
      </w:r>
      <w:r w:rsidR="00330A10" w:rsidRPr="007B3BD9">
        <w:rPr>
          <w:rFonts w:ascii="Times New Roman" w:hAnsi="Times New Roman" w:cs="Times New Roman"/>
          <w:sz w:val="24"/>
          <w:szCs w:val="24"/>
        </w:rPr>
        <w:t xml:space="preserve">utilisation des </w:t>
      </w:r>
      <w:r w:rsidRPr="007B3BD9">
        <w:rPr>
          <w:rFonts w:ascii="Times New Roman" w:hAnsi="Times New Roman" w:cs="Times New Roman"/>
          <w:sz w:val="24"/>
          <w:szCs w:val="24"/>
        </w:rPr>
        <w:t>pesticides chimiques, fertilisants chimiques et organiques) afin de maximiser la production. Ainsi, en recourant aux pesticides chimiques de synthèse, les producteurs veulent garantir l’aspect physique attrayant des produits et la rentabilité de la production (</w:t>
      </w:r>
      <w:r w:rsidR="00645F2B" w:rsidRPr="007B3BD9">
        <w:rPr>
          <w:rFonts w:ascii="Times New Roman" w:hAnsi="Times New Roman" w:cs="Times New Roman"/>
          <w:sz w:val="24"/>
          <w:szCs w:val="24"/>
        </w:rPr>
        <w:t>AHOUANGNINOU</w:t>
      </w:r>
      <w:r w:rsidR="006B4848" w:rsidRPr="007B3BD9">
        <w:rPr>
          <w:rFonts w:ascii="Times New Roman" w:hAnsi="Times New Roman" w:cs="Times New Roman"/>
          <w:i/>
          <w:sz w:val="24"/>
          <w:szCs w:val="24"/>
        </w:rPr>
        <w:t>.</w:t>
      </w:r>
      <w:r w:rsidRPr="007B3BD9">
        <w:rPr>
          <w:rFonts w:ascii="Times New Roman" w:hAnsi="Times New Roman" w:cs="Times New Roman"/>
          <w:i/>
          <w:sz w:val="24"/>
          <w:szCs w:val="24"/>
        </w:rPr>
        <w:t>,</w:t>
      </w:r>
      <w:r w:rsidRPr="007B3BD9">
        <w:rPr>
          <w:rFonts w:ascii="Times New Roman" w:hAnsi="Times New Roman" w:cs="Times New Roman"/>
          <w:sz w:val="24"/>
          <w:szCs w:val="24"/>
        </w:rPr>
        <w:t xml:space="preserve"> 2013). C’est pourquoi la plupart des producteurs de nos sites d’étude (</w:t>
      </w:r>
      <w:proofErr w:type="spellStart"/>
      <w:r w:rsidRPr="007B3BD9">
        <w:rPr>
          <w:rFonts w:ascii="Times New Roman" w:hAnsi="Times New Roman" w:cs="Times New Roman"/>
          <w:sz w:val="24"/>
          <w:szCs w:val="24"/>
        </w:rPr>
        <w:t>Sakaby</w:t>
      </w:r>
      <w:proofErr w:type="spellEnd"/>
      <w:r w:rsidRPr="007B3BD9">
        <w:rPr>
          <w:rFonts w:ascii="Times New Roman" w:hAnsi="Times New Roman" w:cs="Times New Roman"/>
          <w:sz w:val="24"/>
          <w:szCs w:val="24"/>
        </w:rPr>
        <w:t xml:space="preserve"> et </w:t>
      </w:r>
      <w:proofErr w:type="spellStart"/>
      <w:r w:rsidRPr="007B3BD9">
        <w:rPr>
          <w:rFonts w:ascii="Times New Roman" w:hAnsi="Times New Roman" w:cs="Times New Roman"/>
          <w:sz w:val="24"/>
          <w:szCs w:val="24"/>
        </w:rPr>
        <w:t>Dogona</w:t>
      </w:r>
      <w:proofErr w:type="spellEnd"/>
      <w:r w:rsidRPr="007B3BD9">
        <w:rPr>
          <w:rFonts w:ascii="Times New Roman" w:hAnsi="Times New Roman" w:cs="Times New Roman"/>
          <w:sz w:val="24"/>
          <w:szCs w:val="24"/>
        </w:rPr>
        <w:t xml:space="preserve">) utilisent des pesticides de synthèse. Ils disposent d’une multitude de spécialités commerciales de pesticides dont la principale famille est représentée par les </w:t>
      </w:r>
      <w:proofErr w:type="spellStart"/>
      <w:r w:rsidRPr="007B3BD9">
        <w:rPr>
          <w:rFonts w:ascii="Times New Roman" w:hAnsi="Times New Roman" w:cs="Times New Roman"/>
          <w:sz w:val="24"/>
          <w:szCs w:val="24"/>
        </w:rPr>
        <w:t>pyréthrinoïdes</w:t>
      </w:r>
      <w:proofErr w:type="spellEnd"/>
      <w:r w:rsidRPr="007B3BD9">
        <w:rPr>
          <w:rFonts w:ascii="Times New Roman" w:hAnsi="Times New Roman" w:cs="Times New Roman"/>
          <w:sz w:val="24"/>
          <w:szCs w:val="24"/>
        </w:rPr>
        <w:t>. Le lambda-</w:t>
      </w:r>
      <w:proofErr w:type="spellStart"/>
      <w:r w:rsidRPr="007B3BD9">
        <w:rPr>
          <w:rFonts w:ascii="Times New Roman" w:hAnsi="Times New Roman" w:cs="Times New Roman"/>
          <w:sz w:val="24"/>
          <w:szCs w:val="24"/>
        </w:rPr>
        <w:t>cyhalothrine</w:t>
      </w:r>
      <w:proofErr w:type="spellEnd"/>
      <w:r w:rsidRPr="007B3BD9">
        <w:rPr>
          <w:rFonts w:ascii="Times New Roman" w:hAnsi="Times New Roman" w:cs="Times New Roman"/>
          <w:sz w:val="24"/>
          <w:szCs w:val="24"/>
        </w:rPr>
        <w:t>, l’</w:t>
      </w:r>
      <w:proofErr w:type="spellStart"/>
      <w:r w:rsidRPr="007B3BD9">
        <w:rPr>
          <w:rFonts w:ascii="Times New Roman" w:hAnsi="Times New Roman" w:cs="Times New Roman"/>
          <w:sz w:val="24"/>
          <w:szCs w:val="24"/>
        </w:rPr>
        <w:t>acétamipride</w:t>
      </w:r>
      <w:proofErr w:type="spellEnd"/>
      <w:r w:rsidRPr="007B3BD9">
        <w:rPr>
          <w:rFonts w:ascii="Times New Roman" w:hAnsi="Times New Roman" w:cs="Times New Roman"/>
          <w:sz w:val="24"/>
          <w:szCs w:val="24"/>
        </w:rPr>
        <w:t xml:space="preserve"> et le cyperméthrine sont les matières actives les plus présentes comme l’ont aussi constaté plusieurs auteurs dont </w:t>
      </w:r>
      <w:r w:rsidR="00645F2B" w:rsidRPr="007B3BD9">
        <w:rPr>
          <w:rFonts w:ascii="Times New Roman" w:hAnsi="Times New Roman" w:cs="Times New Roman"/>
          <w:sz w:val="24"/>
          <w:szCs w:val="24"/>
        </w:rPr>
        <w:t xml:space="preserve">NARE </w:t>
      </w:r>
      <w:r w:rsidRPr="007B3BD9">
        <w:rPr>
          <w:rFonts w:ascii="Times New Roman" w:hAnsi="Times New Roman" w:cs="Times New Roman"/>
          <w:i/>
          <w:sz w:val="24"/>
          <w:szCs w:val="24"/>
        </w:rPr>
        <w:t>et al</w:t>
      </w:r>
      <w:r w:rsidRPr="007B3BD9">
        <w:rPr>
          <w:rFonts w:ascii="Times New Roman" w:hAnsi="Times New Roman" w:cs="Times New Roman"/>
          <w:sz w:val="24"/>
          <w:szCs w:val="24"/>
        </w:rPr>
        <w:t xml:space="preserve">. (2015) et </w:t>
      </w:r>
      <w:r w:rsidR="00645F2B" w:rsidRPr="007B3BD9">
        <w:rPr>
          <w:rFonts w:ascii="Times New Roman" w:hAnsi="Times New Roman" w:cs="Times New Roman"/>
          <w:sz w:val="24"/>
          <w:szCs w:val="24"/>
        </w:rPr>
        <w:t xml:space="preserve">SON </w:t>
      </w:r>
      <w:r w:rsidRPr="007B3BD9">
        <w:rPr>
          <w:rFonts w:ascii="Times New Roman" w:hAnsi="Times New Roman" w:cs="Times New Roman"/>
          <w:i/>
          <w:sz w:val="24"/>
          <w:szCs w:val="24"/>
        </w:rPr>
        <w:t>et al</w:t>
      </w:r>
      <w:r w:rsidRPr="007B3BD9">
        <w:rPr>
          <w:rFonts w:ascii="Times New Roman" w:hAnsi="Times New Roman" w:cs="Times New Roman"/>
          <w:sz w:val="24"/>
          <w:szCs w:val="24"/>
        </w:rPr>
        <w:t xml:space="preserve">. (2017). Cette présence dominante des </w:t>
      </w:r>
      <w:proofErr w:type="spellStart"/>
      <w:r w:rsidRPr="007B3BD9">
        <w:rPr>
          <w:rFonts w:ascii="Times New Roman" w:hAnsi="Times New Roman" w:cs="Times New Roman"/>
          <w:sz w:val="24"/>
          <w:szCs w:val="24"/>
        </w:rPr>
        <w:t>pyréthrinoïdes</w:t>
      </w:r>
      <w:proofErr w:type="spellEnd"/>
      <w:r w:rsidRPr="007B3BD9">
        <w:rPr>
          <w:rFonts w:ascii="Times New Roman" w:hAnsi="Times New Roman" w:cs="Times New Roman"/>
          <w:sz w:val="24"/>
          <w:szCs w:val="24"/>
        </w:rPr>
        <w:t xml:space="preserve"> dans ces exploitations maraîchères, peut engendrer des risques de toxicité sur les organismes non cibles étant donné que les </w:t>
      </w:r>
      <w:proofErr w:type="spellStart"/>
      <w:r w:rsidRPr="007B3BD9">
        <w:rPr>
          <w:rFonts w:ascii="Times New Roman" w:hAnsi="Times New Roman" w:cs="Times New Roman"/>
          <w:sz w:val="24"/>
          <w:szCs w:val="24"/>
        </w:rPr>
        <w:t>pyréthrinoïdes</w:t>
      </w:r>
      <w:proofErr w:type="spellEnd"/>
      <w:r w:rsidRPr="007B3BD9">
        <w:rPr>
          <w:rFonts w:ascii="Times New Roman" w:hAnsi="Times New Roman" w:cs="Times New Roman"/>
          <w:sz w:val="24"/>
          <w:szCs w:val="24"/>
        </w:rPr>
        <w:t xml:space="preserve"> ont une toxicité aiguë et chronique très élevée</w:t>
      </w:r>
      <w:r w:rsidRPr="007B3BD9" w:rsidDel="0099197F">
        <w:rPr>
          <w:rFonts w:ascii="Times New Roman" w:hAnsi="Times New Roman" w:cs="Times New Roman"/>
          <w:sz w:val="24"/>
          <w:szCs w:val="24"/>
        </w:rPr>
        <w:t xml:space="preserve"> </w:t>
      </w:r>
      <w:r w:rsidRPr="007B3BD9">
        <w:rPr>
          <w:rFonts w:ascii="Times New Roman" w:hAnsi="Times New Roman" w:cs="Times New Roman"/>
          <w:sz w:val="24"/>
          <w:szCs w:val="24"/>
        </w:rPr>
        <w:t>(</w:t>
      </w:r>
      <w:r w:rsidR="00645F2B" w:rsidRPr="007B3BD9">
        <w:rPr>
          <w:rFonts w:ascii="Times New Roman" w:hAnsi="Times New Roman" w:cs="Times New Roman"/>
          <w:sz w:val="24"/>
          <w:szCs w:val="24"/>
        </w:rPr>
        <w:t xml:space="preserve">AGBOYI </w:t>
      </w:r>
      <w:r w:rsidRPr="007B3BD9">
        <w:rPr>
          <w:rFonts w:ascii="Times New Roman" w:hAnsi="Times New Roman" w:cs="Times New Roman"/>
          <w:i/>
          <w:sz w:val="24"/>
          <w:szCs w:val="24"/>
        </w:rPr>
        <w:t>et al</w:t>
      </w:r>
      <w:r w:rsidRPr="007B3BD9">
        <w:rPr>
          <w:rFonts w:ascii="Times New Roman" w:hAnsi="Times New Roman" w:cs="Times New Roman"/>
          <w:sz w:val="24"/>
          <w:szCs w:val="24"/>
        </w:rPr>
        <w:t>. 2015)</w:t>
      </w:r>
      <w:r w:rsidR="00364D0B" w:rsidRPr="007B3BD9">
        <w:rPr>
          <w:rFonts w:ascii="Times New Roman" w:hAnsi="Times New Roman" w:cs="Times New Roman"/>
          <w:sz w:val="24"/>
          <w:szCs w:val="24"/>
        </w:rPr>
        <w:t xml:space="preserve">. </w:t>
      </w:r>
      <w:r w:rsidR="00154BBF" w:rsidRPr="007B3BD9">
        <w:rPr>
          <w:rFonts w:ascii="Times New Roman" w:hAnsi="Times New Roman" w:cs="Times New Roman"/>
          <w:sz w:val="24"/>
          <w:szCs w:val="24"/>
        </w:rPr>
        <w:t>En</w:t>
      </w:r>
      <w:r w:rsidR="00364D0B" w:rsidRPr="007B3BD9">
        <w:rPr>
          <w:rFonts w:ascii="Times New Roman" w:hAnsi="Times New Roman" w:cs="Times New Roman"/>
          <w:sz w:val="24"/>
          <w:szCs w:val="24"/>
        </w:rPr>
        <w:t xml:space="preserve"> plus</w:t>
      </w:r>
      <w:r w:rsidR="00154BBF" w:rsidRPr="007B3BD9">
        <w:rPr>
          <w:rFonts w:ascii="Times New Roman" w:hAnsi="Times New Roman" w:cs="Times New Roman"/>
          <w:sz w:val="24"/>
          <w:szCs w:val="24"/>
        </w:rPr>
        <w:t>,</w:t>
      </w:r>
      <w:r w:rsidR="00364D0B" w:rsidRPr="007B3BD9">
        <w:rPr>
          <w:rFonts w:ascii="Times New Roman" w:hAnsi="Times New Roman" w:cs="Times New Roman"/>
          <w:sz w:val="24"/>
          <w:szCs w:val="24"/>
        </w:rPr>
        <w:t xml:space="preserve"> la forte </w:t>
      </w:r>
      <w:r w:rsidR="00154BBF" w:rsidRPr="007B3BD9">
        <w:rPr>
          <w:rFonts w:ascii="Times New Roman" w:hAnsi="Times New Roman" w:cs="Times New Roman"/>
          <w:sz w:val="24"/>
          <w:szCs w:val="24"/>
        </w:rPr>
        <w:t xml:space="preserve">variation </w:t>
      </w:r>
      <w:r w:rsidR="00364D0B" w:rsidRPr="007B3BD9">
        <w:rPr>
          <w:rFonts w:ascii="Times New Roman" w:hAnsi="Times New Roman" w:cs="Times New Roman"/>
          <w:sz w:val="24"/>
          <w:szCs w:val="24"/>
        </w:rPr>
        <w:t>des doses appliquée</w:t>
      </w:r>
      <w:r w:rsidR="00154BBF" w:rsidRPr="007B3BD9">
        <w:rPr>
          <w:rFonts w:ascii="Times New Roman" w:hAnsi="Times New Roman" w:cs="Times New Roman"/>
          <w:sz w:val="24"/>
          <w:szCs w:val="24"/>
        </w:rPr>
        <w:t>s</w:t>
      </w:r>
      <w:r w:rsidR="00364D0B" w:rsidRPr="007B3BD9">
        <w:rPr>
          <w:rFonts w:ascii="Times New Roman" w:hAnsi="Times New Roman" w:cs="Times New Roman"/>
          <w:sz w:val="24"/>
          <w:szCs w:val="24"/>
        </w:rPr>
        <w:t xml:space="preserve"> </w:t>
      </w:r>
      <w:r w:rsidR="00154BBF" w:rsidRPr="007B3BD9">
        <w:rPr>
          <w:rFonts w:ascii="Times New Roman" w:hAnsi="Times New Roman" w:cs="Times New Roman"/>
          <w:sz w:val="24"/>
          <w:szCs w:val="24"/>
        </w:rPr>
        <w:t>traduit un non-respect ou l’ignorance des normes phytosanitaires. Ce qui pourrait être dommageable pour la santé humaine et</w:t>
      </w:r>
      <w:r w:rsidR="00C6399B" w:rsidRPr="007B3BD9">
        <w:rPr>
          <w:rFonts w:ascii="Times New Roman" w:hAnsi="Times New Roman" w:cs="Times New Roman"/>
          <w:sz w:val="24"/>
          <w:szCs w:val="24"/>
        </w:rPr>
        <w:t xml:space="preserve"> pour</w:t>
      </w:r>
      <w:r w:rsidR="00154BBF" w:rsidRPr="007B3BD9">
        <w:rPr>
          <w:rFonts w:ascii="Times New Roman" w:hAnsi="Times New Roman" w:cs="Times New Roman"/>
          <w:sz w:val="24"/>
          <w:szCs w:val="24"/>
        </w:rPr>
        <w:t xml:space="preserve"> environnementale.</w:t>
      </w:r>
      <w:r w:rsidR="00154BBF" w:rsidRPr="007B3BD9">
        <w:rPr>
          <w:rFonts w:ascii="Times New Roman" w:hAnsi="Times New Roman" w:cs="Times New Roman"/>
          <w:sz w:val="24"/>
          <w:szCs w:val="24"/>
          <w:highlight w:val="yellow"/>
        </w:rPr>
        <w:t xml:space="preserve"> </w:t>
      </w:r>
    </w:p>
    <w:p w14:paraId="29EBCA6D" w14:textId="4E0CCAAF" w:rsidR="00096A8C" w:rsidRPr="00111172" w:rsidRDefault="00096A8C" w:rsidP="00111172">
      <w:pPr>
        <w:pStyle w:val="Paragraphedeliste"/>
        <w:numPr>
          <w:ilvl w:val="1"/>
          <w:numId w:val="4"/>
        </w:numPr>
        <w:spacing w:after="120" w:line="240" w:lineRule="auto"/>
        <w:ind w:left="425" w:hanging="425"/>
        <w:contextualSpacing w:val="0"/>
        <w:rPr>
          <w:rFonts w:ascii="Times New Roman" w:hAnsi="Times New Roman" w:cs="Times New Roman"/>
          <w:b/>
        </w:rPr>
      </w:pPr>
      <w:r w:rsidRPr="00111172">
        <w:rPr>
          <w:rFonts w:ascii="Times New Roman" w:hAnsi="Times New Roman" w:cs="Times New Roman"/>
          <w:b/>
        </w:rPr>
        <w:t>Risques de pollution des eaux de surface et souterraines</w:t>
      </w:r>
    </w:p>
    <w:p w14:paraId="0392FF5A" w14:textId="46013BD7" w:rsidR="005A423C" w:rsidRPr="007B3BD9" w:rsidRDefault="009E6C21" w:rsidP="00EB7D2E">
      <w:pPr>
        <w:spacing w:line="240" w:lineRule="auto"/>
        <w:rPr>
          <w:rFonts w:ascii="Times New Roman" w:hAnsi="Times New Roman" w:cs="Times New Roman"/>
          <w:sz w:val="24"/>
          <w:szCs w:val="24"/>
        </w:rPr>
      </w:pPr>
      <w:r>
        <w:rPr>
          <w:rFonts w:ascii="Times New Roman" w:hAnsi="Times New Roman" w:cs="Times New Roman"/>
          <w:sz w:val="24"/>
          <w:szCs w:val="24"/>
        </w:rPr>
        <w:t>L</w:t>
      </w:r>
      <w:r w:rsidR="005A423C" w:rsidRPr="007B3BD9">
        <w:rPr>
          <w:rFonts w:ascii="Times New Roman" w:hAnsi="Times New Roman" w:cs="Times New Roman"/>
          <w:sz w:val="24"/>
          <w:szCs w:val="24"/>
        </w:rPr>
        <w:t xml:space="preserve">’indicateur EPRIP soutient </w:t>
      </w:r>
      <w:r w:rsidR="00330A10" w:rsidRPr="007B3BD9">
        <w:rPr>
          <w:rFonts w:ascii="Times New Roman" w:hAnsi="Times New Roman" w:cs="Times New Roman"/>
          <w:sz w:val="24"/>
          <w:szCs w:val="24"/>
        </w:rPr>
        <w:t>qu’il existe des risques de pollution</w:t>
      </w:r>
      <w:r w:rsidR="005A423C" w:rsidRPr="007B3BD9">
        <w:rPr>
          <w:rFonts w:ascii="Times New Roman" w:hAnsi="Times New Roman" w:cs="Times New Roman"/>
          <w:sz w:val="24"/>
          <w:szCs w:val="24"/>
        </w:rPr>
        <w:t xml:space="preserve"> </w:t>
      </w:r>
      <w:r w:rsidR="00330A10" w:rsidRPr="007B3BD9">
        <w:rPr>
          <w:rFonts w:ascii="Times New Roman" w:hAnsi="Times New Roman" w:cs="Times New Roman"/>
          <w:sz w:val="24"/>
          <w:szCs w:val="24"/>
        </w:rPr>
        <w:t>des</w:t>
      </w:r>
      <w:r w:rsidR="005A423C" w:rsidRPr="007B3BD9">
        <w:rPr>
          <w:rFonts w:ascii="Times New Roman" w:hAnsi="Times New Roman" w:cs="Times New Roman"/>
          <w:sz w:val="24"/>
          <w:szCs w:val="24"/>
        </w:rPr>
        <w:t xml:space="preserve"> eaux souterraines et de surface ainsi que le sol par les matières actives de pesticides tels que le </w:t>
      </w:r>
      <w:proofErr w:type="spellStart"/>
      <w:r w:rsidR="005A423C" w:rsidRPr="007B3BD9">
        <w:rPr>
          <w:rFonts w:ascii="Times New Roman" w:hAnsi="Times New Roman" w:cs="Times New Roman"/>
          <w:sz w:val="24"/>
          <w:szCs w:val="24"/>
        </w:rPr>
        <w:t>méthomyl</w:t>
      </w:r>
      <w:proofErr w:type="spellEnd"/>
      <w:r w:rsidR="005A423C" w:rsidRPr="007B3BD9">
        <w:rPr>
          <w:rFonts w:ascii="Times New Roman" w:hAnsi="Times New Roman" w:cs="Times New Roman"/>
          <w:sz w:val="24"/>
          <w:szCs w:val="24"/>
        </w:rPr>
        <w:t>, l’</w:t>
      </w:r>
      <w:proofErr w:type="spellStart"/>
      <w:r w:rsidR="005A423C" w:rsidRPr="007B3BD9">
        <w:rPr>
          <w:rFonts w:ascii="Times New Roman" w:hAnsi="Times New Roman" w:cs="Times New Roman"/>
          <w:sz w:val="24"/>
          <w:szCs w:val="24"/>
        </w:rPr>
        <w:t>acétamipride</w:t>
      </w:r>
      <w:proofErr w:type="spellEnd"/>
      <w:r w:rsidR="005A423C" w:rsidRPr="007B3BD9">
        <w:rPr>
          <w:rFonts w:ascii="Times New Roman" w:hAnsi="Times New Roman" w:cs="Times New Roman"/>
          <w:sz w:val="24"/>
          <w:szCs w:val="24"/>
        </w:rPr>
        <w:t>, le lambda-</w:t>
      </w:r>
      <w:proofErr w:type="spellStart"/>
      <w:r w:rsidR="005A423C" w:rsidRPr="007B3BD9">
        <w:rPr>
          <w:rFonts w:ascii="Times New Roman" w:hAnsi="Times New Roman" w:cs="Times New Roman"/>
          <w:sz w:val="24"/>
          <w:szCs w:val="24"/>
        </w:rPr>
        <w:t>cyhalothrine</w:t>
      </w:r>
      <w:proofErr w:type="spellEnd"/>
      <w:r w:rsidR="005A423C" w:rsidRPr="007B3BD9">
        <w:rPr>
          <w:rFonts w:ascii="Times New Roman" w:hAnsi="Times New Roman" w:cs="Times New Roman"/>
          <w:sz w:val="24"/>
          <w:szCs w:val="24"/>
        </w:rPr>
        <w:t xml:space="preserve">, le </w:t>
      </w:r>
      <w:proofErr w:type="spellStart"/>
      <w:r w:rsidR="005A423C" w:rsidRPr="007B3BD9">
        <w:rPr>
          <w:rFonts w:ascii="Times New Roman" w:hAnsi="Times New Roman" w:cs="Times New Roman"/>
          <w:sz w:val="24"/>
          <w:szCs w:val="24"/>
        </w:rPr>
        <w:t>deltaméthrine</w:t>
      </w:r>
      <w:proofErr w:type="spellEnd"/>
      <w:r w:rsidR="005A423C" w:rsidRPr="007B3BD9">
        <w:rPr>
          <w:rFonts w:ascii="Times New Roman" w:hAnsi="Times New Roman" w:cs="Times New Roman"/>
          <w:sz w:val="24"/>
          <w:szCs w:val="24"/>
        </w:rPr>
        <w:t xml:space="preserve"> et le cyperméthrine. Une présence de toxicité élevée dans les eaux souterraines et dans les eaux de surface témoigne d’un coefficient d’adsorption moins important des pesticides (</w:t>
      </w:r>
      <w:proofErr w:type="spellStart"/>
      <w:r w:rsidR="005A423C" w:rsidRPr="007B3BD9">
        <w:rPr>
          <w:rFonts w:ascii="Times New Roman" w:hAnsi="Times New Roman" w:cs="Times New Roman"/>
          <w:sz w:val="24"/>
          <w:szCs w:val="24"/>
        </w:rPr>
        <w:t>methomyl</w:t>
      </w:r>
      <w:proofErr w:type="spellEnd"/>
      <w:r w:rsidR="005A423C" w:rsidRPr="007B3BD9">
        <w:rPr>
          <w:rFonts w:ascii="Times New Roman" w:hAnsi="Times New Roman" w:cs="Times New Roman"/>
          <w:sz w:val="24"/>
          <w:szCs w:val="24"/>
        </w:rPr>
        <w:t xml:space="preserve"> et l’</w:t>
      </w:r>
      <w:proofErr w:type="spellStart"/>
      <w:r w:rsidR="005A423C" w:rsidRPr="007B3BD9">
        <w:rPr>
          <w:rFonts w:ascii="Times New Roman" w:hAnsi="Times New Roman" w:cs="Times New Roman"/>
          <w:sz w:val="24"/>
          <w:szCs w:val="24"/>
        </w:rPr>
        <w:t>acétamipride</w:t>
      </w:r>
      <w:proofErr w:type="spellEnd"/>
      <w:r w:rsidR="005A423C" w:rsidRPr="007B3BD9">
        <w:rPr>
          <w:rFonts w:ascii="Times New Roman" w:hAnsi="Times New Roman" w:cs="Times New Roman"/>
          <w:sz w:val="24"/>
          <w:szCs w:val="24"/>
        </w:rPr>
        <w:t xml:space="preserve">). Ce qui serait dommageable pour les organismes vivants non cibles de ces milieux tels </w:t>
      </w:r>
      <w:r w:rsidR="00C6399B" w:rsidRPr="007B3BD9">
        <w:rPr>
          <w:rFonts w:ascii="Times New Roman" w:hAnsi="Times New Roman" w:cs="Times New Roman"/>
          <w:sz w:val="24"/>
          <w:szCs w:val="24"/>
        </w:rPr>
        <w:t xml:space="preserve">que </w:t>
      </w:r>
      <w:r w:rsidR="005A423C" w:rsidRPr="007B3BD9">
        <w:rPr>
          <w:rFonts w:ascii="Times New Roman" w:hAnsi="Times New Roman" w:cs="Times New Roman"/>
          <w:sz w:val="24"/>
          <w:szCs w:val="24"/>
        </w:rPr>
        <w:t>les poissons, les algues et les crustacées. En comparant les valeurs éco- toxicologiques de ces matières actives aux seuils standards (</w:t>
      </w:r>
      <w:r w:rsidR="00701712" w:rsidRPr="007B3BD9">
        <w:rPr>
          <w:rFonts w:ascii="Times New Roman" w:hAnsi="Times New Roman" w:cs="Times New Roman"/>
          <w:sz w:val="24"/>
          <w:szCs w:val="24"/>
        </w:rPr>
        <w:t xml:space="preserve">US. </w:t>
      </w:r>
      <w:r w:rsidR="005A423C" w:rsidRPr="007B3BD9">
        <w:rPr>
          <w:rFonts w:ascii="Times New Roman" w:hAnsi="Times New Roman" w:cs="Times New Roman"/>
          <w:sz w:val="24"/>
          <w:szCs w:val="24"/>
        </w:rPr>
        <w:t xml:space="preserve">EPA, 2009), on peut déduire que le cyperméthrine, le </w:t>
      </w:r>
      <w:proofErr w:type="spellStart"/>
      <w:r w:rsidR="005A423C" w:rsidRPr="007B3BD9">
        <w:rPr>
          <w:rFonts w:ascii="Times New Roman" w:hAnsi="Times New Roman" w:cs="Times New Roman"/>
          <w:sz w:val="24"/>
          <w:szCs w:val="24"/>
        </w:rPr>
        <w:t>deltaméthrine</w:t>
      </w:r>
      <w:proofErr w:type="spellEnd"/>
      <w:r w:rsidR="005A423C" w:rsidRPr="007B3BD9">
        <w:rPr>
          <w:rFonts w:ascii="Times New Roman" w:hAnsi="Times New Roman" w:cs="Times New Roman"/>
          <w:sz w:val="24"/>
          <w:szCs w:val="24"/>
        </w:rPr>
        <w:t xml:space="preserve"> et le </w:t>
      </w:r>
      <w:proofErr w:type="spellStart"/>
      <w:r w:rsidR="005A423C" w:rsidRPr="007B3BD9">
        <w:rPr>
          <w:rFonts w:ascii="Times New Roman" w:hAnsi="Times New Roman" w:cs="Times New Roman"/>
          <w:sz w:val="24"/>
          <w:szCs w:val="24"/>
        </w:rPr>
        <w:t>méthomyl</w:t>
      </w:r>
      <w:proofErr w:type="spellEnd"/>
      <w:r w:rsidR="005A423C" w:rsidRPr="007B3BD9">
        <w:rPr>
          <w:rFonts w:ascii="Times New Roman" w:hAnsi="Times New Roman" w:cs="Times New Roman"/>
          <w:sz w:val="24"/>
          <w:szCs w:val="24"/>
        </w:rPr>
        <w:t xml:space="preserve"> sont hautement toxiques </w:t>
      </w:r>
      <w:r w:rsidR="00FE3F2F">
        <w:rPr>
          <w:rFonts w:ascii="Times New Roman" w:hAnsi="Times New Roman" w:cs="Times New Roman"/>
          <w:sz w:val="24"/>
          <w:szCs w:val="24"/>
        </w:rPr>
        <w:t xml:space="preserve">pour les organismes aquatiques </w:t>
      </w:r>
      <w:r w:rsidR="005A423C" w:rsidRPr="007B3BD9">
        <w:rPr>
          <w:rFonts w:ascii="Times New Roman" w:hAnsi="Times New Roman" w:cs="Times New Roman"/>
          <w:sz w:val="24"/>
          <w:szCs w:val="24"/>
        </w:rPr>
        <w:t>(</w:t>
      </w:r>
      <w:r w:rsidR="00645F2B" w:rsidRPr="007B3BD9">
        <w:rPr>
          <w:rFonts w:ascii="Times New Roman" w:hAnsi="Times New Roman" w:cs="Times New Roman"/>
          <w:sz w:val="24"/>
          <w:szCs w:val="24"/>
        </w:rPr>
        <w:t xml:space="preserve">CALVET </w:t>
      </w:r>
      <w:r w:rsidR="005A423C" w:rsidRPr="007B3BD9">
        <w:rPr>
          <w:rFonts w:ascii="Times New Roman" w:hAnsi="Times New Roman" w:cs="Times New Roman"/>
          <w:i/>
          <w:sz w:val="24"/>
          <w:szCs w:val="24"/>
        </w:rPr>
        <w:t>et al.</w:t>
      </w:r>
      <w:r w:rsidR="005A423C" w:rsidRPr="007B3BD9">
        <w:rPr>
          <w:rFonts w:ascii="Times New Roman" w:hAnsi="Times New Roman" w:cs="Times New Roman"/>
          <w:sz w:val="24"/>
          <w:szCs w:val="24"/>
        </w:rPr>
        <w:t xml:space="preserve">, 2005). </w:t>
      </w:r>
    </w:p>
    <w:p w14:paraId="395AC77C" w14:textId="779ED148" w:rsidR="005A423C" w:rsidRPr="007B3BD9" w:rsidRDefault="005A423C" w:rsidP="00CD5AEC">
      <w:pPr>
        <w:spacing w:after="120" w:line="240" w:lineRule="auto"/>
        <w:rPr>
          <w:rFonts w:ascii="Times New Roman" w:hAnsi="Times New Roman" w:cs="Times New Roman"/>
          <w:sz w:val="24"/>
          <w:szCs w:val="24"/>
        </w:rPr>
      </w:pPr>
      <w:r w:rsidRPr="007B3BD9">
        <w:rPr>
          <w:rFonts w:ascii="Times New Roman" w:hAnsi="Times New Roman" w:cs="Times New Roman"/>
          <w:sz w:val="24"/>
          <w:szCs w:val="24"/>
        </w:rPr>
        <w:t xml:space="preserve">Sachant que les producteurs appliquent des quantités élevées de pesticides, les risques de toxicité obtenus au niveau des eaux souterraines et des eaux de surface, son étonnement faible. En réalité, les risques semblent être atténués par l’éloignement de certaines parcelles du lit d’eau et la faiblesse de la pente (environ 1,5%). Cette atténuation pourrait également s’expliquer en partie par le phénomène de sorption due à la forte teneur en matière organique dans le sol. Selon </w:t>
      </w:r>
      <w:r w:rsidR="00645F2B" w:rsidRPr="007B3BD9">
        <w:rPr>
          <w:rFonts w:ascii="Times New Roman" w:hAnsi="Times New Roman" w:cs="Times New Roman"/>
          <w:sz w:val="24"/>
          <w:szCs w:val="24"/>
        </w:rPr>
        <w:t xml:space="preserve">ATTEIA </w:t>
      </w:r>
      <w:r w:rsidRPr="007B3BD9">
        <w:rPr>
          <w:rFonts w:ascii="Times New Roman" w:hAnsi="Times New Roman" w:cs="Times New Roman"/>
          <w:sz w:val="24"/>
          <w:szCs w:val="24"/>
        </w:rPr>
        <w:t xml:space="preserve">(2015), plus la sorption par la matière organique est importante et moins les eaux présentent des concentrations </w:t>
      </w:r>
      <w:r w:rsidR="00C6399B" w:rsidRPr="007B3BD9">
        <w:rPr>
          <w:rFonts w:ascii="Times New Roman" w:hAnsi="Times New Roman" w:cs="Times New Roman"/>
          <w:sz w:val="24"/>
          <w:szCs w:val="24"/>
        </w:rPr>
        <w:t xml:space="preserve">élevées </w:t>
      </w:r>
      <w:r w:rsidRPr="007B3BD9">
        <w:rPr>
          <w:rFonts w:ascii="Times New Roman" w:hAnsi="Times New Roman" w:cs="Times New Roman"/>
          <w:sz w:val="24"/>
          <w:szCs w:val="24"/>
        </w:rPr>
        <w:t xml:space="preserve">en pesticides. Surtout que </w:t>
      </w:r>
      <w:r w:rsidR="00645F2B" w:rsidRPr="007B3BD9">
        <w:rPr>
          <w:rFonts w:ascii="Times New Roman" w:hAnsi="Times New Roman" w:cs="Times New Roman"/>
          <w:sz w:val="24"/>
          <w:szCs w:val="24"/>
        </w:rPr>
        <w:t xml:space="preserve">OUEDRAOGO </w:t>
      </w:r>
      <w:r w:rsidRPr="007B3BD9">
        <w:rPr>
          <w:rFonts w:ascii="Times New Roman" w:hAnsi="Times New Roman" w:cs="Times New Roman"/>
          <w:i/>
          <w:sz w:val="24"/>
          <w:szCs w:val="24"/>
        </w:rPr>
        <w:t>et al</w:t>
      </w:r>
      <w:r w:rsidRPr="007B3BD9">
        <w:rPr>
          <w:rFonts w:ascii="Times New Roman" w:hAnsi="Times New Roman" w:cs="Times New Roman"/>
          <w:sz w:val="24"/>
          <w:szCs w:val="24"/>
        </w:rPr>
        <w:t>. (2020) ont constaté une séquestration de carbone dans les sols maraîchers urbains liée à une forte utilisation des déchets organiques. Cependant, les mêmes pratiques phytosanitaires pourraient avoir des effets plus néfastes en milieu semi-urbain et rural, compte tenu de la faible utilisation de la fumure organique dans ces zones (</w:t>
      </w:r>
      <w:r w:rsidR="00645F2B" w:rsidRPr="007B3BD9">
        <w:rPr>
          <w:rFonts w:ascii="Times New Roman" w:hAnsi="Times New Roman" w:cs="Times New Roman"/>
          <w:sz w:val="24"/>
          <w:szCs w:val="24"/>
        </w:rPr>
        <w:t xml:space="preserve">OUEDRAOGO </w:t>
      </w:r>
      <w:r w:rsidRPr="007B3BD9">
        <w:rPr>
          <w:rFonts w:ascii="Times New Roman" w:hAnsi="Times New Roman" w:cs="Times New Roman"/>
          <w:i/>
          <w:sz w:val="24"/>
          <w:szCs w:val="24"/>
        </w:rPr>
        <w:t>et al.</w:t>
      </w:r>
      <w:r w:rsidRPr="007B3BD9">
        <w:rPr>
          <w:rFonts w:ascii="Times New Roman" w:hAnsi="Times New Roman" w:cs="Times New Roman"/>
          <w:sz w:val="24"/>
          <w:szCs w:val="24"/>
        </w:rPr>
        <w:t xml:space="preserve">, 2019). Il convient alors d’encourager l’utilisation de la fumure organique (de qualité) pour minimiser les risques liés à l’usage des pesticides. </w:t>
      </w:r>
    </w:p>
    <w:p w14:paraId="40E0C4E8" w14:textId="78C65B05" w:rsidR="00096A8C" w:rsidRPr="00111172" w:rsidRDefault="00096A8C" w:rsidP="00111172">
      <w:pPr>
        <w:pStyle w:val="Paragraphedeliste"/>
        <w:numPr>
          <w:ilvl w:val="1"/>
          <w:numId w:val="4"/>
        </w:numPr>
        <w:spacing w:before="120" w:after="120" w:line="240" w:lineRule="auto"/>
        <w:ind w:left="425" w:hanging="425"/>
        <w:contextualSpacing w:val="0"/>
        <w:rPr>
          <w:rFonts w:ascii="Times New Roman" w:hAnsi="Times New Roman" w:cs="Times New Roman"/>
          <w:b/>
          <w:sz w:val="24"/>
          <w:szCs w:val="24"/>
        </w:rPr>
      </w:pPr>
      <w:r w:rsidRPr="00111172">
        <w:rPr>
          <w:rFonts w:ascii="Times New Roman" w:hAnsi="Times New Roman" w:cs="Times New Roman"/>
          <w:b/>
          <w:sz w:val="24"/>
          <w:szCs w:val="24"/>
        </w:rPr>
        <w:t>Risques de pollution du sol</w:t>
      </w:r>
    </w:p>
    <w:p w14:paraId="6AA3A4D4" w14:textId="08B2A554" w:rsidR="005A423C" w:rsidRPr="007B3BD9" w:rsidRDefault="005A423C" w:rsidP="00CD5AEC">
      <w:pPr>
        <w:spacing w:after="120" w:line="240" w:lineRule="auto"/>
        <w:rPr>
          <w:rFonts w:ascii="Times New Roman" w:hAnsi="Times New Roman" w:cs="Times New Roman"/>
          <w:sz w:val="24"/>
          <w:szCs w:val="24"/>
        </w:rPr>
      </w:pPr>
      <w:r w:rsidRPr="007B3BD9">
        <w:rPr>
          <w:rFonts w:ascii="Times New Roman" w:hAnsi="Times New Roman" w:cs="Times New Roman"/>
          <w:sz w:val="24"/>
          <w:szCs w:val="24"/>
        </w:rPr>
        <w:t>Au niveau du compartiment sol, les niveaux de risques élevés observés peuvent s’expliquer par divers facteurs dont l’application répétée des pesticides et l’intensité des activités maraîchères. De plus, le temps de pulvérisation et le stade de développement de la plante ou de la structure végétative peuvent moduler l’ampleur de la pression de toxicité sur les écosystèmes (</w:t>
      </w:r>
      <w:r w:rsidR="00645F2B" w:rsidRPr="007B3BD9">
        <w:rPr>
          <w:rFonts w:ascii="Times New Roman" w:hAnsi="Times New Roman" w:cs="Times New Roman"/>
          <w:sz w:val="24"/>
          <w:szCs w:val="24"/>
        </w:rPr>
        <w:t xml:space="preserve">RÄSÄNEN </w:t>
      </w:r>
      <w:r w:rsidRPr="007B3BD9">
        <w:rPr>
          <w:rFonts w:ascii="Times New Roman" w:hAnsi="Times New Roman" w:cs="Times New Roman"/>
          <w:i/>
          <w:sz w:val="24"/>
          <w:szCs w:val="24"/>
        </w:rPr>
        <w:t>et al.</w:t>
      </w:r>
      <w:r w:rsidR="000A1BC7" w:rsidRPr="007B3BD9">
        <w:rPr>
          <w:rFonts w:ascii="Times New Roman" w:hAnsi="Times New Roman" w:cs="Times New Roman"/>
          <w:sz w:val="24"/>
          <w:szCs w:val="24"/>
        </w:rPr>
        <w:t>, 2015</w:t>
      </w:r>
      <w:r w:rsidRPr="007B3BD9">
        <w:rPr>
          <w:rFonts w:ascii="Times New Roman" w:hAnsi="Times New Roman" w:cs="Times New Roman"/>
          <w:sz w:val="24"/>
          <w:szCs w:val="24"/>
        </w:rPr>
        <w:t xml:space="preserve">). Ces concentrations élevées de pesticides dans le sol pourraient </w:t>
      </w:r>
      <w:r w:rsidRPr="007B3BD9">
        <w:rPr>
          <w:rFonts w:ascii="Times New Roman" w:hAnsi="Times New Roman" w:cs="Times New Roman"/>
          <w:sz w:val="24"/>
          <w:szCs w:val="24"/>
        </w:rPr>
        <w:lastRenderedPageBreak/>
        <w:t>impacter négativement l’activité biologique. En effet, différents travaux au Burkina (</w:t>
      </w:r>
      <w:r w:rsidR="00645F2B" w:rsidRPr="007B3BD9">
        <w:rPr>
          <w:rFonts w:ascii="Times New Roman" w:hAnsi="Times New Roman" w:cs="Times New Roman"/>
          <w:sz w:val="24"/>
          <w:szCs w:val="24"/>
        </w:rPr>
        <w:t xml:space="preserve">NARE </w:t>
      </w:r>
      <w:r w:rsidRPr="007B3BD9">
        <w:rPr>
          <w:rFonts w:ascii="Times New Roman" w:hAnsi="Times New Roman" w:cs="Times New Roman"/>
          <w:i/>
          <w:sz w:val="24"/>
          <w:szCs w:val="24"/>
        </w:rPr>
        <w:t>et al.</w:t>
      </w:r>
      <w:r w:rsidRPr="007B3BD9">
        <w:rPr>
          <w:rFonts w:ascii="Times New Roman" w:hAnsi="Times New Roman" w:cs="Times New Roman"/>
          <w:sz w:val="24"/>
          <w:szCs w:val="24"/>
        </w:rPr>
        <w:t>, 2014) et ailleurs (</w:t>
      </w:r>
      <w:r w:rsidR="00645F2B" w:rsidRPr="007B3BD9">
        <w:rPr>
          <w:rFonts w:ascii="Times New Roman" w:hAnsi="Times New Roman" w:cs="Times New Roman"/>
          <w:sz w:val="24"/>
          <w:szCs w:val="24"/>
        </w:rPr>
        <w:t>ATTEIA</w:t>
      </w:r>
      <w:r w:rsidRPr="007B3BD9">
        <w:rPr>
          <w:rFonts w:ascii="Times New Roman" w:hAnsi="Times New Roman" w:cs="Times New Roman"/>
          <w:sz w:val="24"/>
          <w:szCs w:val="24"/>
        </w:rPr>
        <w:t>, 2015) convergent sur le fait que les sols soumis à une agriculture intensive, à fort</w:t>
      </w:r>
      <w:r w:rsidR="00C6399B" w:rsidRPr="007B3BD9">
        <w:rPr>
          <w:rFonts w:ascii="Times New Roman" w:hAnsi="Times New Roman" w:cs="Times New Roman"/>
          <w:sz w:val="24"/>
          <w:szCs w:val="24"/>
        </w:rPr>
        <w:t>s</w:t>
      </w:r>
      <w:r w:rsidRPr="007B3BD9">
        <w:rPr>
          <w:rFonts w:ascii="Times New Roman" w:hAnsi="Times New Roman" w:cs="Times New Roman"/>
          <w:sz w:val="24"/>
          <w:szCs w:val="24"/>
        </w:rPr>
        <w:t xml:space="preserve"> intrant</w:t>
      </w:r>
      <w:r w:rsidR="00C6399B" w:rsidRPr="007B3BD9">
        <w:rPr>
          <w:rFonts w:ascii="Times New Roman" w:hAnsi="Times New Roman" w:cs="Times New Roman"/>
          <w:sz w:val="24"/>
          <w:szCs w:val="24"/>
        </w:rPr>
        <w:t>s</w:t>
      </w:r>
      <w:r w:rsidRPr="007B3BD9">
        <w:rPr>
          <w:rFonts w:ascii="Times New Roman" w:hAnsi="Times New Roman" w:cs="Times New Roman"/>
          <w:sz w:val="24"/>
          <w:szCs w:val="24"/>
        </w:rPr>
        <w:t xml:space="preserve"> (pesticides, engrais) ont une vie biologique très faible en raison de la toxicité de certains pesticides pour la faune du sol.</w:t>
      </w:r>
      <w:r w:rsidRPr="007B3BD9">
        <w:rPr>
          <w:rFonts w:ascii="Times New Roman" w:hAnsi="Times New Roman" w:cs="Times New Roman"/>
          <w:sz w:val="24"/>
          <w:szCs w:val="24"/>
          <w:highlight w:val="red"/>
        </w:rPr>
        <w:t xml:space="preserve"> </w:t>
      </w:r>
    </w:p>
    <w:p w14:paraId="0BE3D6CC" w14:textId="0EE10FC5" w:rsidR="00096A8C" w:rsidRPr="00111172" w:rsidRDefault="00096A8C" w:rsidP="00111172">
      <w:pPr>
        <w:pStyle w:val="Paragraphedeliste"/>
        <w:numPr>
          <w:ilvl w:val="1"/>
          <w:numId w:val="4"/>
        </w:numPr>
        <w:spacing w:before="120" w:after="120" w:line="240" w:lineRule="auto"/>
        <w:ind w:left="425" w:hanging="425"/>
        <w:contextualSpacing w:val="0"/>
        <w:rPr>
          <w:rFonts w:ascii="Times New Roman" w:hAnsi="Times New Roman" w:cs="Times New Roman"/>
          <w:b/>
          <w:sz w:val="24"/>
          <w:szCs w:val="24"/>
        </w:rPr>
      </w:pPr>
      <w:r w:rsidRPr="00111172">
        <w:rPr>
          <w:rFonts w:ascii="Times New Roman" w:hAnsi="Times New Roman" w:cs="Times New Roman"/>
          <w:b/>
          <w:sz w:val="24"/>
          <w:szCs w:val="24"/>
        </w:rPr>
        <w:t>Risques de pollution de l’air</w:t>
      </w:r>
    </w:p>
    <w:p w14:paraId="22F74F7B" w14:textId="5CA7CDE0" w:rsidR="005A423C" w:rsidRPr="007B3BD9" w:rsidRDefault="009E6C21" w:rsidP="00CD5AEC">
      <w:pPr>
        <w:spacing w:after="120" w:line="240" w:lineRule="auto"/>
        <w:rPr>
          <w:rFonts w:ascii="Times New Roman" w:hAnsi="Times New Roman" w:cs="Times New Roman"/>
          <w:sz w:val="24"/>
          <w:szCs w:val="24"/>
        </w:rPr>
      </w:pPr>
      <w:r>
        <w:rPr>
          <w:rFonts w:ascii="Times New Roman" w:hAnsi="Times New Roman" w:cs="Times New Roman"/>
          <w:sz w:val="24"/>
          <w:szCs w:val="24"/>
        </w:rPr>
        <w:t>L</w:t>
      </w:r>
      <w:r w:rsidR="005A423C" w:rsidRPr="007B3BD9">
        <w:rPr>
          <w:rFonts w:ascii="Times New Roman" w:hAnsi="Times New Roman" w:cs="Times New Roman"/>
          <w:sz w:val="24"/>
          <w:szCs w:val="24"/>
        </w:rPr>
        <w:t xml:space="preserve">e risque de toxicité dans le compartiment air s’est avéré faible. Cela pourrait être lié aux propriétés physico-chimiques des matières actives et aux matériels utilisés pour les traitements. En effet, le </w:t>
      </w:r>
      <w:proofErr w:type="spellStart"/>
      <w:r w:rsidR="005A423C" w:rsidRPr="007B3BD9">
        <w:rPr>
          <w:rFonts w:ascii="Times New Roman" w:hAnsi="Times New Roman" w:cs="Times New Roman"/>
          <w:sz w:val="24"/>
          <w:szCs w:val="24"/>
        </w:rPr>
        <w:t>méthomyl</w:t>
      </w:r>
      <w:proofErr w:type="spellEnd"/>
      <w:r w:rsidR="005A423C" w:rsidRPr="007B3BD9">
        <w:rPr>
          <w:rFonts w:ascii="Times New Roman" w:hAnsi="Times New Roman" w:cs="Times New Roman"/>
          <w:sz w:val="24"/>
          <w:szCs w:val="24"/>
        </w:rPr>
        <w:t xml:space="preserve"> (7,5×10</w:t>
      </w:r>
      <w:r w:rsidR="005A423C" w:rsidRPr="007B3BD9">
        <w:rPr>
          <w:rFonts w:ascii="Times New Roman" w:hAnsi="Times New Roman" w:cs="Times New Roman"/>
          <w:sz w:val="24"/>
          <w:szCs w:val="24"/>
          <w:vertAlign w:val="superscript"/>
        </w:rPr>
        <w:t>-9</w:t>
      </w:r>
      <w:r w:rsidR="005A423C" w:rsidRPr="007B3BD9">
        <w:rPr>
          <w:rFonts w:ascii="Times New Roman" w:hAnsi="Times New Roman" w:cs="Times New Roman"/>
          <w:sz w:val="24"/>
          <w:szCs w:val="24"/>
        </w:rPr>
        <w:t>), l’</w:t>
      </w:r>
      <w:proofErr w:type="spellStart"/>
      <w:r w:rsidR="005A423C" w:rsidRPr="007B3BD9">
        <w:rPr>
          <w:rFonts w:ascii="Times New Roman" w:hAnsi="Times New Roman" w:cs="Times New Roman"/>
          <w:sz w:val="24"/>
          <w:szCs w:val="24"/>
        </w:rPr>
        <w:t>acétamipride</w:t>
      </w:r>
      <w:proofErr w:type="spellEnd"/>
      <w:r w:rsidR="005A423C" w:rsidRPr="007B3BD9">
        <w:rPr>
          <w:rFonts w:ascii="Times New Roman" w:hAnsi="Times New Roman" w:cs="Times New Roman"/>
          <w:sz w:val="24"/>
          <w:szCs w:val="24"/>
        </w:rPr>
        <w:t xml:space="preserve"> (2,13×10</w:t>
      </w:r>
      <w:r w:rsidR="005A423C" w:rsidRPr="007B3BD9">
        <w:rPr>
          <w:rFonts w:ascii="Times New Roman" w:hAnsi="Times New Roman" w:cs="Times New Roman"/>
          <w:sz w:val="24"/>
          <w:szCs w:val="24"/>
          <w:vertAlign w:val="superscript"/>
        </w:rPr>
        <w:t>-11</w:t>
      </w:r>
      <w:r w:rsidR="005A423C" w:rsidRPr="007B3BD9">
        <w:rPr>
          <w:rFonts w:ascii="Times New Roman" w:hAnsi="Times New Roman" w:cs="Times New Roman"/>
          <w:sz w:val="24"/>
          <w:szCs w:val="24"/>
        </w:rPr>
        <w:t>), le cyperméthrine (3,7×10</w:t>
      </w:r>
      <w:r w:rsidR="005A423C" w:rsidRPr="007B3BD9">
        <w:rPr>
          <w:rFonts w:ascii="Times New Roman" w:hAnsi="Times New Roman" w:cs="Times New Roman"/>
          <w:sz w:val="24"/>
          <w:szCs w:val="24"/>
          <w:vertAlign w:val="superscript"/>
        </w:rPr>
        <w:t>-6</w:t>
      </w:r>
      <w:r w:rsidR="005A423C" w:rsidRPr="007B3BD9">
        <w:rPr>
          <w:rFonts w:ascii="Times New Roman" w:hAnsi="Times New Roman" w:cs="Times New Roman"/>
          <w:sz w:val="24"/>
          <w:szCs w:val="24"/>
        </w:rPr>
        <w:t xml:space="preserve">), le </w:t>
      </w:r>
      <w:proofErr w:type="spellStart"/>
      <w:r w:rsidR="005A423C" w:rsidRPr="007B3BD9">
        <w:rPr>
          <w:rFonts w:ascii="Times New Roman" w:hAnsi="Times New Roman" w:cs="Times New Roman"/>
          <w:sz w:val="24"/>
          <w:szCs w:val="24"/>
        </w:rPr>
        <w:t>deltaméthrine</w:t>
      </w:r>
      <w:proofErr w:type="spellEnd"/>
      <w:r w:rsidR="005A423C" w:rsidRPr="007B3BD9">
        <w:rPr>
          <w:rFonts w:ascii="Times New Roman" w:hAnsi="Times New Roman" w:cs="Times New Roman"/>
          <w:sz w:val="24"/>
          <w:szCs w:val="24"/>
        </w:rPr>
        <w:t xml:space="preserve"> (4,2×10</w:t>
      </w:r>
      <w:r w:rsidR="005A423C" w:rsidRPr="007B3BD9">
        <w:rPr>
          <w:rFonts w:ascii="Times New Roman" w:hAnsi="Times New Roman" w:cs="Times New Roman"/>
          <w:sz w:val="24"/>
          <w:szCs w:val="24"/>
          <w:vertAlign w:val="superscript"/>
        </w:rPr>
        <w:t>-6</w:t>
      </w:r>
      <w:r w:rsidR="005A423C" w:rsidRPr="007B3BD9">
        <w:rPr>
          <w:rFonts w:ascii="Times New Roman" w:hAnsi="Times New Roman" w:cs="Times New Roman"/>
          <w:sz w:val="24"/>
          <w:szCs w:val="24"/>
        </w:rPr>
        <w:t>), et le lambda-</w:t>
      </w:r>
      <w:proofErr w:type="spellStart"/>
      <w:r w:rsidR="005A423C" w:rsidRPr="007B3BD9">
        <w:rPr>
          <w:rFonts w:ascii="Times New Roman" w:hAnsi="Times New Roman" w:cs="Times New Roman"/>
          <w:sz w:val="24"/>
          <w:szCs w:val="24"/>
        </w:rPr>
        <w:t>cyhalothrine</w:t>
      </w:r>
      <w:proofErr w:type="spellEnd"/>
      <w:r w:rsidR="005A423C" w:rsidRPr="007B3BD9">
        <w:rPr>
          <w:rFonts w:ascii="Times New Roman" w:hAnsi="Times New Roman" w:cs="Times New Roman"/>
          <w:sz w:val="24"/>
          <w:szCs w:val="24"/>
        </w:rPr>
        <w:t xml:space="preserve"> (7,38×10</w:t>
      </w:r>
      <w:r w:rsidR="005A423C" w:rsidRPr="007B3BD9">
        <w:rPr>
          <w:rFonts w:ascii="Times New Roman" w:hAnsi="Times New Roman" w:cs="Times New Roman"/>
          <w:sz w:val="24"/>
          <w:szCs w:val="24"/>
          <w:vertAlign w:val="superscript"/>
        </w:rPr>
        <w:t>-6</w:t>
      </w:r>
      <w:r w:rsidR="005A423C" w:rsidRPr="007B3BD9">
        <w:rPr>
          <w:rFonts w:ascii="Times New Roman" w:hAnsi="Times New Roman" w:cs="Times New Roman"/>
          <w:sz w:val="24"/>
          <w:szCs w:val="24"/>
        </w:rPr>
        <w:t xml:space="preserve">) ont des coefficients de Henry très faibles. Selon </w:t>
      </w:r>
      <w:r w:rsidR="00645F2B" w:rsidRPr="007B3BD9">
        <w:rPr>
          <w:rFonts w:ascii="Times New Roman" w:hAnsi="Times New Roman" w:cs="Times New Roman"/>
          <w:sz w:val="24"/>
          <w:szCs w:val="24"/>
        </w:rPr>
        <w:t xml:space="preserve">CALVET </w:t>
      </w:r>
      <w:r w:rsidR="005A423C" w:rsidRPr="007B3BD9">
        <w:rPr>
          <w:rFonts w:ascii="Times New Roman" w:hAnsi="Times New Roman" w:cs="Times New Roman"/>
          <w:i/>
          <w:sz w:val="24"/>
          <w:szCs w:val="24"/>
        </w:rPr>
        <w:t>et al.</w:t>
      </w:r>
      <w:r w:rsidR="005A423C" w:rsidRPr="007B3BD9">
        <w:rPr>
          <w:rFonts w:ascii="Times New Roman" w:hAnsi="Times New Roman" w:cs="Times New Roman"/>
          <w:sz w:val="24"/>
          <w:szCs w:val="24"/>
        </w:rPr>
        <w:t xml:space="preserve"> (2005), le risque pour un pesticide d’être transféré dans l’atmosphère est d’autant plus faible que le coefficient de Henry est faible. En plus, le pulvérisateur à dos utilisé pour l’application des insecticides ne favorise pas une expansion du produit dans l’air. </w:t>
      </w:r>
    </w:p>
    <w:p w14:paraId="04B0DBD5" w14:textId="2A047339" w:rsidR="005A423C" w:rsidRDefault="005A423C" w:rsidP="00EB7D2E">
      <w:pPr>
        <w:spacing w:line="240" w:lineRule="auto"/>
        <w:rPr>
          <w:rFonts w:ascii="Times New Roman" w:hAnsi="Times New Roman" w:cs="Times New Roman"/>
          <w:sz w:val="24"/>
          <w:szCs w:val="24"/>
        </w:rPr>
      </w:pPr>
      <w:r w:rsidRPr="007B3BD9">
        <w:rPr>
          <w:rFonts w:ascii="Times New Roman" w:hAnsi="Times New Roman" w:cs="Times New Roman"/>
          <w:sz w:val="24"/>
          <w:szCs w:val="24"/>
        </w:rPr>
        <w:t>Enfin, la simulation de l’indicateur d’impact environnemental lié aux pesticides (EPRIP) a produit des valeurs de scores globaux (17 à 81) correspondants à une classe de risque faible pour l’environnement (</w:t>
      </w:r>
      <w:r w:rsidR="00645F2B" w:rsidRPr="007B3BD9">
        <w:rPr>
          <w:rFonts w:ascii="Times New Roman" w:hAnsi="Times New Roman" w:cs="Times New Roman"/>
          <w:sz w:val="24"/>
          <w:szCs w:val="24"/>
        </w:rPr>
        <w:t xml:space="preserve">TREVISAN </w:t>
      </w:r>
      <w:r w:rsidRPr="007B3BD9">
        <w:rPr>
          <w:rFonts w:ascii="Times New Roman" w:hAnsi="Times New Roman" w:cs="Times New Roman"/>
          <w:i/>
          <w:sz w:val="24"/>
          <w:szCs w:val="24"/>
        </w:rPr>
        <w:t>et al.,</w:t>
      </w:r>
      <w:r w:rsidRPr="007B3BD9">
        <w:rPr>
          <w:rFonts w:ascii="Times New Roman" w:hAnsi="Times New Roman" w:cs="Times New Roman"/>
          <w:sz w:val="24"/>
          <w:szCs w:val="24"/>
        </w:rPr>
        <w:t xml:space="preserve"> 2009). Cependant il convient d’être prudent face à cet effet cumulé, qui a été dilué par le faible risque au niveau de l’air (contrairement aux seuils alarmants observés dans les compartiments eau et sol). Du reste, certaines matières actives des pesticides (l’</w:t>
      </w:r>
      <w:proofErr w:type="spellStart"/>
      <w:r w:rsidRPr="007B3BD9">
        <w:rPr>
          <w:rFonts w:ascii="Times New Roman" w:hAnsi="Times New Roman" w:cs="Times New Roman"/>
          <w:sz w:val="24"/>
          <w:szCs w:val="24"/>
        </w:rPr>
        <w:t>acétamipride</w:t>
      </w:r>
      <w:proofErr w:type="spellEnd"/>
      <w:r w:rsidRPr="007B3BD9">
        <w:rPr>
          <w:rFonts w:ascii="Times New Roman" w:hAnsi="Times New Roman" w:cs="Times New Roman"/>
          <w:sz w:val="24"/>
          <w:szCs w:val="24"/>
        </w:rPr>
        <w:t>, le cyperméthrine et l’</w:t>
      </w:r>
      <w:proofErr w:type="spellStart"/>
      <w:r w:rsidRPr="007B3BD9">
        <w:rPr>
          <w:rFonts w:ascii="Times New Roman" w:hAnsi="Times New Roman" w:cs="Times New Roman"/>
          <w:sz w:val="24"/>
          <w:szCs w:val="24"/>
        </w:rPr>
        <w:t>abamectine</w:t>
      </w:r>
      <w:proofErr w:type="spellEnd"/>
      <w:r w:rsidRPr="007B3BD9">
        <w:rPr>
          <w:rFonts w:ascii="Times New Roman" w:hAnsi="Times New Roman" w:cs="Times New Roman"/>
          <w:sz w:val="24"/>
          <w:szCs w:val="24"/>
        </w:rPr>
        <w:t>) révèlent la présence de risque de pollution de l’environnement. Toutefois, le faible niveau de risque révélé par l’indicateur EPRIP n’exclut pas l’absence de risque de contamination de l’environnement à long terme. Ce constat suggère aussi pour les investigations ultérieures de rechercher des indicateurs plus sensibles / appropriés pour l’air.</w:t>
      </w:r>
    </w:p>
    <w:p w14:paraId="07C526AE" w14:textId="77777777" w:rsidR="00CD5AEC" w:rsidRPr="007B3BD9" w:rsidRDefault="00CD5AEC" w:rsidP="00EB7D2E">
      <w:pPr>
        <w:spacing w:line="240" w:lineRule="auto"/>
        <w:rPr>
          <w:rFonts w:ascii="Times New Roman" w:hAnsi="Times New Roman" w:cs="Times New Roman"/>
          <w:sz w:val="24"/>
          <w:szCs w:val="24"/>
        </w:rPr>
      </w:pPr>
    </w:p>
    <w:p w14:paraId="52B8C6C9" w14:textId="77777777" w:rsidR="002225F1" w:rsidRDefault="002225F1" w:rsidP="00EB7D2E">
      <w:pPr>
        <w:spacing w:line="240" w:lineRule="auto"/>
      </w:pPr>
    </w:p>
    <w:p w14:paraId="4D86D77A" w14:textId="0DB18131" w:rsidR="00995C1E" w:rsidRPr="00CD5AEC" w:rsidRDefault="00995C1E" w:rsidP="00CD5AEC">
      <w:pPr>
        <w:spacing w:after="240" w:line="240" w:lineRule="auto"/>
        <w:rPr>
          <w:rFonts w:ascii="Times New Roman" w:hAnsi="Times New Roman" w:cs="Times New Roman"/>
          <w:b/>
          <w:sz w:val="28"/>
          <w:szCs w:val="28"/>
        </w:rPr>
      </w:pPr>
      <w:r w:rsidRPr="00CD5AEC">
        <w:rPr>
          <w:rFonts w:ascii="Times New Roman" w:hAnsi="Times New Roman" w:cs="Times New Roman"/>
          <w:b/>
          <w:sz w:val="28"/>
          <w:szCs w:val="28"/>
        </w:rPr>
        <w:t>Conclusion</w:t>
      </w:r>
      <w:r w:rsidR="000B7595" w:rsidRPr="00CD5AEC">
        <w:rPr>
          <w:rFonts w:ascii="Times New Roman" w:hAnsi="Times New Roman" w:cs="Times New Roman"/>
          <w:b/>
          <w:sz w:val="28"/>
          <w:szCs w:val="28"/>
        </w:rPr>
        <w:t xml:space="preserve"> et reco</w:t>
      </w:r>
      <w:r w:rsidR="00DE64C7" w:rsidRPr="00CD5AEC">
        <w:rPr>
          <w:rFonts w:ascii="Times New Roman" w:hAnsi="Times New Roman" w:cs="Times New Roman"/>
          <w:b/>
          <w:sz w:val="28"/>
          <w:szCs w:val="28"/>
        </w:rPr>
        <w:t>mmandation</w:t>
      </w:r>
    </w:p>
    <w:p w14:paraId="5F0D852E" w14:textId="6D76CC1D" w:rsidR="002225F1" w:rsidRPr="002225F1" w:rsidRDefault="002225F1" w:rsidP="00EB7D2E">
      <w:pPr>
        <w:spacing w:line="240" w:lineRule="auto"/>
        <w:rPr>
          <w:rFonts w:ascii="Times New Roman" w:hAnsi="Times New Roman" w:cs="Times New Roman"/>
          <w:sz w:val="24"/>
          <w:szCs w:val="24"/>
        </w:rPr>
      </w:pPr>
      <w:r w:rsidRPr="002225F1">
        <w:rPr>
          <w:rFonts w:ascii="Times New Roman" w:hAnsi="Times New Roman" w:cs="Times New Roman"/>
          <w:sz w:val="24"/>
          <w:szCs w:val="24"/>
        </w:rPr>
        <w:t xml:space="preserve">L’activité maraîchère sur les sites de </w:t>
      </w:r>
      <w:proofErr w:type="spellStart"/>
      <w:r w:rsidRPr="002225F1">
        <w:rPr>
          <w:rFonts w:ascii="Times New Roman" w:hAnsi="Times New Roman" w:cs="Times New Roman"/>
          <w:sz w:val="24"/>
          <w:szCs w:val="24"/>
        </w:rPr>
        <w:t>Sakaby</w:t>
      </w:r>
      <w:proofErr w:type="spellEnd"/>
      <w:r w:rsidRPr="002225F1">
        <w:rPr>
          <w:rFonts w:ascii="Times New Roman" w:hAnsi="Times New Roman" w:cs="Times New Roman"/>
          <w:sz w:val="24"/>
          <w:szCs w:val="24"/>
        </w:rPr>
        <w:t xml:space="preserve"> et </w:t>
      </w:r>
      <w:proofErr w:type="spellStart"/>
      <w:r w:rsidRPr="002225F1">
        <w:rPr>
          <w:rFonts w:ascii="Times New Roman" w:hAnsi="Times New Roman" w:cs="Times New Roman"/>
          <w:sz w:val="24"/>
          <w:szCs w:val="24"/>
        </w:rPr>
        <w:t>Dogona</w:t>
      </w:r>
      <w:proofErr w:type="spellEnd"/>
      <w:r w:rsidRPr="002225F1">
        <w:rPr>
          <w:rFonts w:ascii="Times New Roman" w:hAnsi="Times New Roman" w:cs="Times New Roman"/>
          <w:sz w:val="24"/>
          <w:szCs w:val="24"/>
        </w:rPr>
        <w:t xml:space="preserve"> est caractérisée par l’usage d’une diversité de pesticides chimiques de synthèse dominés par les </w:t>
      </w:r>
      <w:proofErr w:type="spellStart"/>
      <w:r w:rsidRPr="002225F1">
        <w:rPr>
          <w:rFonts w:ascii="Times New Roman" w:hAnsi="Times New Roman" w:cs="Times New Roman"/>
          <w:sz w:val="24"/>
          <w:szCs w:val="24"/>
        </w:rPr>
        <w:t>pyréthrinoïdes</w:t>
      </w:r>
      <w:proofErr w:type="spellEnd"/>
      <w:r w:rsidRPr="002225F1">
        <w:rPr>
          <w:rFonts w:ascii="Times New Roman" w:hAnsi="Times New Roman" w:cs="Times New Roman"/>
          <w:sz w:val="24"/>
          <w:szCs w:val="24"/>
        </w:rPr>
        <w:t xml:space="preserve">. On y observe une utilisation excessive de ces pesticides chimiques pouvant atteindre 51 fois la dose recommandée. Cela entraine des risques de toxicité sur les eaux souterraines et les eaux de surface et sur le sol. Ce risque de toxicité est très remarquable avec l’usage de </w:t>
      </w:r>
      <w:proofErr w:type="spellStart"/>
      <w:r w:rsidR="005B5ADD" w:rsidRPr="002225F1">
        <w:rPr>
          <w:rFonts w:ascii="Times New Roman" w:hAnsi="Times New Roman" w:cs="Times New Roman"/>
          <w:sz w:val="24"/>
          <w:szCs w:val="24"/>
        </w:rPr>
        <w:t>méthomyl</w:t>
      </w:r>
      <w:proofErr w:type="spellEnd"/>
      <w:r w:rsidRPr="002225F1">
        <w:rPr>
          <w:rFonts w:ascii="Times New Roman" w:hAnsi="Times New Roman" w:cs="Times New Roman"/>
          <w:sz w:val="24"/>
          <w:szCs w:val="24"/>
        </w:rPr>
        <w:t>, de l’</w:t>
      </w:r>
      <w:proofErr w:type="spellStart"/>
      <w:r w:rsidRPr="002225F1">
        <w:rPr>
          <w:rFonts w:ascii="Times New Roman" w:hAnsi="Times New Roman" w:cs="Times New Roman"/>
          <w:sz w:val="24"/>
          <w:szCs w:val="24"/>
        </w:rPr>
        <w:t>acétamipride</w:t>
      </w:r>
      <w:proofErr w:type="spellEnd"/>
      <w:r w:rsidRPr="002225F1">
        <w:rPr>
          <w:rFonts w:ascii="Times New Roman" w:hAnsi="Times New Roman" w:cs="Times New Roman"/>
          <w:sz w:val="24"/>
          <w:szCs w:val="24"/>
        </w:rPr>
        <w:t>, du cyperméthrine, de lambda-</w:t>
      </w:r>
      <w:proofErr w:type="spellStart"/>
      <w:r w:rsidRPr="002225F1">
        <w:rPr>
          <w:rFonts w:ascii="Times New Roman" w:hAnsi="Times New Roman" w:cs="Times New Roman"/>
          <w:sz w:val="24"/>
          <w:szCs w:val="24"/>
        </w:rPr>
        <w:t>cyhalothrine</w:t>
      </w:r>
      <w:proofErr w:type="spellEnd"/>
      <w:r w:rsidRPr="002225F1">
        <w:rPr>
          <w:rFonts w:ascii="Times New Roman" w:hAnsi="Times New Roman" w:cs="Times New Roman"/>
          <w:sz w:val="24"/>
          <w:szCs w:val="24"/>
        </w:rPr>
        <w:t xml:space="preserve">, de </w:t>
      </w:r>
      <w:proofErr w:type="spellStart"/>
      <w:r w:rsidRPr="002225F1">
        <w:rPr>
          <w:rFonts w:ascii="Times New Roman" w:hAnsi="Times New Roman" w:cs="Times New Roman"/>
          <w:sz w:val="24"/>
          <w:szCs w:val="24"/>
        </w:rPr>
        <w:t>deltaméthrine</w:t>
      </w:r>
      <w:proofErr w:type="spellEnd"/>
      <w:r w:rsidRPr="002225F1">
        <w:rPr>
          <w:rFonts w:ascii="Times New Roman" w:hAnsi="Times New Roman" w:cs="Times New Roman"/>
          <w:sz w:val="24"/>
          <w:szCs w:val="24"/>
        </w:rPr>
        <w:t xml:space="preserve"> et de l’</w:t>
      </w:r>
      <w:proofErr w:type="spellStart"/>
      <w:r w:rsidRPr="002225F1">
        <w:rPr>
          <w:rFonts w:ascii="Times New Roman" w:hAnsi="Times New Roman" w:cs="Times New Roman"/>
          <w:sz w:val="24"/>
          <w:szCs w:val="24"/>
        </w:rPr>
        <w:t>abamectine</w:t>
      </w:r>
      <w:proofErr w:type="spellEnd"/>
      <w:r w:rsidRPr="002225F1">
        <w:rPr>
          <w:rFonts w:ascii="Times New Roman" w:hAnsi="Times New Roman" w:cs="Times New Roman"/>
          <w:sz w:val="24"/>
          <w:szCs w:val="24"/>
        </w:rPr>
        <w:t xml:space="preserve">. Toutefois, le risque d’effets toxiques pour les organismes vivants dans l’atmosphère est négligeable. D’un point de vue analytique, le risque environnemental global lié à l’usage des pesticides est faible pour l’ensemble des scénarii à cause de la faible toxicité au niveau de l’air. </w:t>
      </w:r>
    </w:p>
    <w:p w14:paraId="203FE601" w14:textId="5B8F9311" w:rsidR="002225F1" w:rsidRPr="002225F1" w:rsidRDefault="002225F1" w:rsidP="00EB7D2E">
      <w:pPr>
        <w:spacing w:line="240" w:lineRule="auto"/>
        <w:rPr>
          <w:rFonts w:ascii="Times New Roman" w:hAnsi="Times New Roman" w:cs="Times New Roman"/>
          <w:sz w:val="24"/>
          <w:szCs w:val="24"/>
        </w:rPr>
      </w:pPr>
      <w:r w:rsidRPr="002225F1">
        <w:rPr>
          <w:rFonts w:ascii="Times New Roman" w:hAnsi="Times New Roman" w:cs="Times New Roman"/>
          <w:sz w:val="24"/>
          <w:szCs w:val="24"/>
        </w:rPr>
        <w:t>Ces résultats militent fortement en faveur de la mise en place d’un mécanisme de surveillance des pesticides ayant comme matière active l’</w:t>
      </w:r>
      <w:proofErr w:type="spellStart"/>
      <w:r w:rsidRPr="002225F1">
        <w:rPr>
          <w:rFonts w:ascii="Times New Roman" w:hAnsi="Times New Roman" w:cs="Times New Roman"/>
          <w:sz w:val="24"/>
          <w:szCs w:val="24"/>
        </w:rPr>
        <w:t>acétamipride</w:t>
      </w:r>
      <w:proofErr w:type="spellEnd"/>
      <w:r w:rsidRPr="002225F1">
        <w:rPr>
          <w:rFonts w:ascii="Times New Roman" w:hAnsi="Times New Roman" w:cs="Times New Roman"/>
          <w:sz w:val="24"/>
          <w:szCs w:val="24"/>
        </w:rPr>
        <w:t>, le cyperméthrine et l’</w:t>
      </w:r>
      <w:proofErr w:type="spellStart"/>
      <w:r w:rsidRPr="002225F1">
        <w:rPr>
          <w:rFonts w:ascii="Times New Roman" w:hAnsi="Times New Roman" w:cs="Times New Roman"/>
          <w:sz w:val="24"/>
          <w:szCs w:val="24"/>
        </w:rPr>
        <w:t>abamectine</w:t>
      </w:r>
      <w:proofErr w:type="spellEnd"/>
      <w:r w:rsidRPr="002225F1">
        <w:rPr>
          <w:rFonts w:ascii="Times New Roman" w:hAnsi="Times New Roman" w:cs="Times New Roman"/>
          <w:sz w:val="24"/>
          <w:szCs w:val="24"/>
        </w:rPr>
        <w:t xml:space="preserve"> dans les périmètres maraîchers. En plus, des analyses complémentaires sur la pollution des sédiments d’eau de surface restent nécessaires pour une validation de l’indicateur EPRIP. Dans cette perspective, il faudra prendre en compte la diversité des conditions agro-écologiques pour consolider et valider l’indicateur à l’échelle nationale.</w:t>
      </w:r>
    </w:p>
    <w:p w14:paraId="2E09DB1A" w14:textId="5871129B" w:rsidR="002225F1" w:rsidRPr="002225F1" w:rsidRDefault="002225F1" w:rsidP="00EB7D2E">
      <w:pPr>
        <w:spacing w:line="240" w:lineRule="auto"/>
        <w:ind w:left="360"/>
        <w:rPr>
          <w:rFonts w:ascii="Times New Roman" w:hAnsi="Times New Roman" w:cs="Times New Roman"/>
          <w:sz w:val="24"/>
          <w:szCs w:val="24"/>
        </w:rPr>
      </w:pPr>
    </w:p>
    <w:p w14:paraId="4408A05E" w14:textId="77777777" w:rsidR="00CD5AEC" w:rsidRDefault="00CD5AEC" w:rsidP="00CD5AEC">
      <w:pPr>
        <w:spacing w:after="120" w:line="240" w:lineRule="auto"/>
        <w:rPr>
          <w:rFonts w:ascii="Times New Roman" w:hAnsi="Times New Roman" w:cs="Times New Roman"/>
          <w:b/>
        </w:rPr>
      </w:pPr>
    </w:p>
    <w:p w14:paraId="7E603AA3" w14:textId="77777777" w:rsidR="009E6C21" w:rsidRDefault="009E6C21" w:rsidP="00CD2BF9">
      <w:pPr>
        <w:spacing w:after="240" w:line="240" w:lineRule="auto"/>
        <w:rPr>
          <w:rFonts w:ascii="Times New Roman" w:hAnsi="Times New Roman" w:cs="Times New Roman"/>
          <w:b/>
          <w:sz w:val="28"/>
          <w:szCs w:val="28"/>
        </w:rPr>
      </w:pPr>
    </w:p>
    <w:p w14:paraId="1E749879" w14:textId="77777777" w:rsidR="009E6C21" w:rsidRDefault="009E6C21" w:rsidP="00CD2BF9">
      <w:pPr>
        <w:spacing w:after="240" w:line="240" w:lineRule="auto"/>
        <w:rPr>
          <w:rFonts w:ascii="Times New Roman" w:hAnsi="Times New Roman" w:cs="Times New Roman"/>
          <w:b/>
          <w:sz w:val="28"/>
          <w:szCs w:val="28"/>
        </w:rPr>
      </w:pPr>
    </w:p>
    <w:p w14:paraId="6C99D7CF" w14:textId="77777777" w:rsidR="009E6C21" w:rsidRDefault="009E6C21" w:rsidP="00CD2BF9">
      <w:pPr>
        <w:spacing w:after="240" w:line="240" w:lineRule="auto"/>
        <w:rPr>
          <w:rFonts w:ascii="Times New Roman" w:hAnsi="Times New Roman" w:cs="Times New Roman"/>
          <w:b/>
          <w:sz w:val="28"/>
          <w:szCs w:val="28"/>
        </w:rPr>
      </w:pPr>
    </w:p>
    <w:p w14:paraId="40D00BCE" w14:textId="76927B87" w:rsidR="00B01B66" w:rsidRPr="00E73747" w:rsidRDefault="000B2D26" w:rsidP="00CD2BF9">
      <w:pPr>
        <w:spacing w:after="240" w:line="240" w:lineRule="auto"/>
        <w:rPr>
          <w:rFonts w:ascii="Times New Roman" w:hAnsi="Times New Roman" w:cs="Times New Roman"/>
          <w:b/>
          <w:sz w:val="28"/>
          <w:szCs w:val="28"/>
        </w:rPr>
      </w:pPr>
      <w:r w:rsidRPr="00E73747">
        <w:rPr>
          <w:rFonts w:ascii="Times New Roman" w:hAnsi="Times New Roman" w:cs="Times New Roman"/>
          <w:b/>
          <w:sz w:val="28"/>
          <w:szCs w:val="28"/>
        </w:rPr>
        <w:t>Références</w:t>
      </w:r>
      <w:r w:rsidR="00BA748F" w:rsidRPr="00E73747">
        <w:rPr>
          <w:rFonts w:ascii="Times New Roman" w:hAnsi="Times New Roman" w:cs="Times New Roman"/>
          <w:b/>
          <w:sz w:val="28"/>
          <w:szCs w:val="28"/>
        </w:rPr>
        <w:t xml:space="preserve"> bibliographiques</w:t>
      </w:r>
    </w:p>
    <w:p w14:paraId="6E7DEF78" w14:textId="0E39ACCB" w:rsidR="00BA748F" w:rsidRPr="00CD5AEC" w:rsidRDefault="00E73747" w:rsidP="00CD5AEC">
      <w:pPr>
        <w:spacing w:after="120" w:line="240" w:lineRule="auto"/>
        <w:rPr>
          <w:rFonts w:ascii="Times New Roman" w:hAnsi="Times New Roman" w:cs="Times New Roman"/>
          <w:sz w:val="24"/>
          <w:szCs w:val="24"/>
          <w:lang w:val="en-US"/>
        </w:rPr>
      </w:pPr>
      <w:r w:rsidRPr="00CD5AEC">
        <w:rPr>
          <w:rFonts w:ascii="Times New Roman" w:hAnsi="Times New Roman" w:cs="Times New Roman"/>
          <w:sz w:val="24"/>
          <w:szCs w:val="24"/>
        </w:rPr>
        <w:t xml:space="preserve">AGBOYI </w:t>
      </w:r>
      <w:r w:rsidR="00BA748F" w:rsidRPr="00CD5AEC">
        <w:rPr>
          <w:rFonts w:ascii="Times New Roman" w:hAnsi="Times New Roman" w:cs="Times New Roman"/>
          <w:sz w:val="24"/>
          <w:szCs w:val="24"/>
        </w:rPr>
        <w:t xml:space="preserve">L. K., </w:t>
      </w:r>
      <w:r w:rsidRPr="00CD5AEC">
        <w:rPr>
          <w:rFonts w:ascii="Times New Roman" w:hAnsi="Times New Roman" w:cs="Times New Roman"/>
          <w:sz w:val="24"/>
          <w:szCs w:val="24"/>
        </w:rPr>
        <w:t xml:space="preserve">DJADE K. M., AHADJI-DABLA K. M., KETOH G. K., NUTO </w:t>
      </w:r>
      <w:r w:rsidR="00BA748F" w:rsidRPr="00CD5AEC">
        <w:rPr>
          <w:rFonts w:ascii="Times New Roman" w:hAnsi="Times New Roman" w:cs="Times New Roman"/>
          <w:sz w:val="24"/>
          <w:szCs w:val="24"/>
        </w:rPr>
        <w:t xml:space="preserve">Y. et </w:t>
      </w:r>
      <w:r w:rsidRPr="00CD5AEC">
        <w:rPr>
          <w:rFonts w:ascii="Times New Roman" w:hAnsi="Times New Roman" w:cs="Times New Roman"/>
          <w:sz w:val="24"/>
          <w:szCs w:val="24"/>
        </w:rPr>
        <w:t xml:space="preserve">GLITHO </w:t>
      </w:r>
      <w:r w:rsidR="00BA748F" w:rsidRPr="00CD5AEC">
        <w:rPr>
          <w:rFonts w:ascii="Times New Roman" w:hAnsi="Times New Roman" w:cs="Times New Roman"/>
          <w:sz w:val="24"/>
          <w:szCs w:val="24"/>
        </w:rPr>
        <w:t xml:space="preserve">I. A., 2015. </w:t>
      </w:r>
      <w:r w:rsidR="00BA748F" w:rsidRPr="00CD5AEC">
        <w:rPr>
          <w:rFonts w:ascii="Times New Roman" w:hAnsi="Times New Roman" w:cs="Times New Roman"/>
          <w:sz w:val="24"/>
          <w:szCs w:val="24"/>
          <w:lang w:val="en-US"/>
        </w:rPr>
        <w:t xml:space="preserve">Vegetable production in Togo and potential impact of pesticide use practices on the environment. </w:t>
      </w:r>
      <w:r w:rsidR="00BA748F" w:rsidRPr="00CD5AEC">
        <w:rPr>
          <w:rFonts w:ascii="Times New Roman" w:hAnsi="Times New Roman" w:cs="Times New Roman"/>
          <w:i/>
          <w:sz w:val="24"/>
          <w:szCs w:val="24"/>
          <w:lang w:val="en-US"/>
        </w:rPr>
        <w:t>International Journal of Biology Chemical Science</w:t>
      </w:r>
      <w:r w:rsidR="00BA748F" w:rsidRPr="00CD5AEC">
        <w:rPr>
          <w:rFonts w:ascii="Times New Roman" w:hAnsi="Times New Roman" w:cs="Times New Roman"/>
          <w:sz w:val="24"/>
          <w:szCs w:val="24"/>
          <w:lang w:val="en-US"/>
        </w:rPr>
        <w:t>, 9(2): 723-736.</w:t>
      </w:r>
    </w:p>
    <w:p w14:paraId="7058CE6B" w14:textId="28C01C82" w:rsidR="00BA748F" w:rsidRPr="00CD5AEC" w:rsidRDefault="00E73747" w:rsidP="00CD5AEC">
      <w:pPr>
        <w:spacing w:after="120" w:line="240" w:lineRule="auto"/>
        <w:rPr>
          <w:rFonts w:ascii="Times New Roman" w:hAnsi="Times New Roman" w:cs="Times New Roman"/>
          <w:sz w:val="24"/>
          <w:szCs w:val="24"/>
        </w:rPr>
      </w:pPr>
      <w:r w:rsidRPr="00CD5AEC">
        <w:rPr>
          <w:rFonts w:ascii="Times New Roman" w:hAnsi="Times New Roman" w:cs="Times New Roman"/>
          <w:sz w:val="24"/>
          <w:szCs w:val="24"/>
          <w:lang w:val="en-US"/>
        </w:rPr>
        <w:t xml:space="preserve">AHOUANGNINOU </w:t>
      </w:r>
      <w:r w:rsidR="00BA748F" w:rsidRPr="00CD5AEC">
        <w:rPr>
          <w:rFonts w:ascii="Times New Roman" w:hAnsi="Times New Roman" w:cs="Times New Roman"/>
          <w:sz w:val="24"/>
          <w:szCs w:val="24"/>
          <w:lang w:val="en-US"/>
        </w:rPr>
        <w:t xml:space="preserve">C. C. A., 2013. </w:t>
      </w:r>
      <w:r w:rsidR="00BA748F" w:rsidRPr="00CD5AEC">
        <w:rPr>
          <w:rFonts w:ascii="Times New Roman" w:hAnsi="Times New Roman" w:cs="Times New Roman"/>
          <w:sz w:val="24"/>
          <w:szCs w:val="24"/>
        </w:rPr>
        <w:t xml:space="preserve">Durabilité de la production maraîchère au Sud du Bénin : un essai de l’approche </w:t>
      </w:r>
      <w:proofErr w:type="spellStart"/>
      <w:r w:rsidR="00BA748F" w:rsidRPr="00CD5AEC">
        <w:rPr>
          <w:rFonts w:ascii="Times New Roman" w:hAnsi="Times New Roman" w:cs="Times New Roman"/>
          <w:sz w:val="24"/>
          <w:szCs w:val="24"/>
        </w:rPr>
        <w:t>éco-systémique</w:t>
      </w:r>
      <w:proofErr w:type="spellEnd"/>
      <w:r w:rsidR="00BA748F" w:rsidRPr="00CD5AEC">
        <w:rPr>
          <w:rFonts w:ascii="Times New Roman" w:hAnsi="Times New Roman" w:cs="Times New Roman"/>
          <w:sz w:val="24"/>
          <w:szCs w:val="24"/>
        </w:rPr>
        <w:t>. Thèse de doctorat, option : Environnement, Santé et Développement Durable, Université d’Abomey-</w:t>
      </w:r>
      <w:proofErr w:type="spellStart"/>
      <w:r w:rsidR="00BA748F" w:rsidRPr="00CD5AEC">
        <w:rPr>
          <w:rFonts w:ascii="Times New Roman" w:hAnsi="Times New Roman" w:cs="Times New Roman"/>
          <w:sz w:val="24"/>
          <w:szCs w:val="24"/>
        </w:rPr>
        <w:t>Calavi</w:t>
      </w:r>
      <w:proofErr w:type="spellEnd"/>
      <w:r w:rsidR="00BA748F" w:rsidRPr="00CD5AEC">
        <w:rPr>
          <w:rFonts w:ascii="Times New Roman" w:hAnsi="Times New Roman" w:cs="Times New Roman"/>
          <w:sz w:val="24"/>
          <w:szCs w:val="24"/>
        </w:rPr>
        <w:t>, Bénin, 333p.</w:t>
      </w:r>
    </w:p>
    <w:p w14:paraId="19F3DA95" w14:textId="21C0D95A" w:rsidR="00BA748F" w:rsidRPr="00CD5AEC" w:rsidRDefault="00E73747" w:rsidP="00CD5AEC">
      <w:pPr>
        <w:spacing w:after="120" w:line="240" w:lineRule="auto"/>
        <w:rPr>
          <w:rFonts w:ascii="Times New Roman" w:hAnsi="Times New Roman" w:cs="Times New Roman"/>
          <w:sz w:val="24"/>
          <w:szCs w:val="24"/>
        </w:rPr>
      </w:pPr>
      <w:r w:rsidRPr="00CD5AEC">
        <w:rPr>
          <w:rFonts w:ascii="Times New Roman" w:hAnsi="Times New Roman" w:cs="Times New Roman"/>
          <w:sz w:val="24"/>
          <w:szCs w:val="24"/>
        </w:rPr>
        <w:t xml:space="preserve">ATTEIA </w:t>
      </w:r>
      <w:r w:rsidR="00BA748F" w:rsidRPr="00CD5AEC">
        <w:rPr>
          <w:rFonts w:ascii="Times New Roman" w:hAnsi="Times New Roman" w:cs="Times New Roman"/>
          <w:sz w:val="24"/>
          <w:szCs w:val="24"/>
        </w:rPr>
        <w:t>O., 2015. Chimie et pollutions des eaux souterraines. Edition Lavoisier, France, 429p.</w:t>
      </w:r>
    </w:p>
    <w:p w14:paraId="37AEC839" w14:textId="0DAB0C36" w:rsidR="00BA748F" w:rsidRPr="00CD5AEC" w:rsidRDefault="00E73747" w:rsidP="00CD5AEC">
      <w:pPr>
        <w:spacing w:after="120" w:line="240" w:lineRule="auto"/>
        <w:rPr>
          <w:rFonts w:ascii="Times New Roman" w:hAnsi="Times New Roman" w:cs="Times New Roman"/>
          <w:sz w:val="24"/>
          <w:szCs w:val="24"/>
          <w:lang w:val="en-GB"/>
        </w:rPr>
      </w:pPr>
      <w:r w:rsidRPr="00CD5AEC">
        <w:rPr>
          <w:rFonts w:ascii="Times New Roman" w:hAnsi="Times New Roman" w:cs="Times New Roman"/>
          <w:sz w:val="24"/>
          <w:szCs w:val="24"/>
        </w:rPr>
        <w:t>CALVET R., BARRIUSO E., BEDOS C., BENOIT P., CHARNAY M. P</w:t>
      </w:r>
      <w:r w:rsidR="00BA748F" w:rsidRPr="00CD5AEC">
        <w:rPr>
          <w:rFonts w:ascii="Times New Roman" w:hAnsi="Times New Roman" w:cs="Times New Roman"/>
          <w:sz w:val="24"/>
          <w:szCs w:val="24"/>
        </w:rPr>
        <w:t xml:space="preserve">. et </w:t>
      </w:r>
      <w:r w:rsidRPr="00CD5AEC">
        <w:rPr>
          <w:rFonts w:ascii="Times New Roman" w:hAnsi="Times New Roman" w:cs="Times New Roman"/>
          <w:sz w:val="24"/>
          <w:szCs w:val="24"/>
        </w:rPr>
        <w:t xml:space="preserve">COQUET </w:t>
      </w:r>
      <w:r w:rsidR="00BA748F" w:rsidRPr="00CD5AEC">
        <w:rPr>
          <w:rFonts w:ascii="Times New Roman" w:hAnsi="Times New Roman" w:cs="Times New Roman"/>
          <w:sz w:val="24"/>
          <w:szCs w:val="24"/>
        </w:rPr>
        <w:t xml:space="preserve">Y., 2005. Les pesticides dans le sol : Conséquences agronomiques et environnementales. Editions France Agricole. </w:t>
      </w:r>
      <w:r w:rsidR="00BA748F" w:rsidRPr="00CD5AEC">
        <w:rPr>
          <w:rFonts w:ascii="Times New Roman" w:hAnsi="Times New Roman" w:cs="Times New Roman"/>
          <w:sz w:val="24"/>
          <w:szCs w:val="24"/>
          <w:lang w:val="en-GB"/>
        </w:rPr>
        <w:t>637p.</w:t>
      </w:r>
    </w:p>
    <w:p w14:paraId="47440CB2" w14:textId="4FD8EE52" w:rsidR="00BA748F" w:rsidRPr="00CD5AEC" w:rsidRDefault="00E73747" w:rsidP="00CD5AEC">
      <w:pPr>
        <w:autoSpaceDE w:val="0"/>
        <w:autoSpaceDN w:val="0"/>
        <w:adjustRightInd w:val="0"/>
        <w:spacing w:after="120" w:line="240" w:lineRule="auto"/>
        <w:rPr>
          <w:rFonts w:ascii="Times New Roman" w:hAnsi="Times New Roman" w:cs="Times New Roman"/>
          <w:sz w:val="24"/>
          <w:szCs w:val="24"/>
          <w:lang w:val="en-US"/>
        </w:rPr>
      </w:pPr>
      <w:r w:rsidRPr="00CD5AEC">
        <w:rPr>
          <w:rFonts w:ascii="Times New Roman" w:hAnsi="Times New Roman" w:cs="Times New Roman"/>
          <w:sz w:val="24"/>
          <w:szCs w:val="24"/>
          <w:lang w:val="en-US"/>
        </w:rPr>
        <w:t>FEOLA, G., RAHN E. and BINDER C.R</w:t>
      </w:r>
      <w:r w:rsidR="00BA748F" w:rsidRPr="00CD5AEC">
        <w:rPr>
          <w:rFonts w:ascii="Times New Roman" w:hAnsi="Times New Roman" w:cs="Times New Roman"/>
          <w:sz w:val="24"/>
          <w:szCs w:val="24"/>
          <w:lang w:val="en-US"/>
        </w:rPr>
        <w:t xml:space="preserve">., 2011. Suitability of pesticide risk indicators for Less Developed Countries: A comparison. </w:t>
      </w:r>
      <w:r w:rsidR="00BA748F" w:rsidRPr="00CD5AEC">
        <w:rPr>
          <w:rFonts w:ascii="Times New Roman" w:hAnsi="Times New Roman" w:cs="Times New Roman"/>
          <w:i/>
          <w:sz w:val="24"/>
          <w:szCs w:val="24"/>
          <w:lang w:val="en-US"/>
        </w:rPr>
        <w:t xml:space="preserve">Agric. </w:t>
      </w:r>
      <w:proofErr w:type="spellStart"/>
      <w:r w:rsidR="00BA748F" w:rsidRPr="00CD5AEC">
        <w:rPr>
          <w:rFonts w:ascii="Times New Roman" w:hAnsi="Times New Roman" w:cs="Times New Roman"/>
          <w:i/>
          <w:sz w:val="24"/>
          <w:szCs w:val="24"/>
          <w:lang w:val="en-US"/>
        </w:rPr>
        <w:t>Ecosyst</w:t>
      </w:r>
      <w:proofErr w:type="spellEnd"/>
      <w:r w:rsidR="00BA748F" w:rsidRPr="00CD5AEC">
        <w:rPr>
          <w:rFonts w:ascii="Times New Roman" w:hAnsi="Times New Roman" w:cs="Times New Roman"/>
          <w:i/>
          <w:sz w:val="24"/>
          <w:szCs w:val="24"/>
          <w:lang w:val="en-US"/>
        </w:rPr>
        <w:t>. Environ</w:t>
      </w:r>
      <w:r w:rsidR="00BA748F" w:rsidRPr="00CD5AEC">
        <w:rPr>
          <w:rFonts w:ascii="Times New Roman" w:hAnsi="Times New Roman" w:cs="Times New Roman"/>
          <w:sz w:val="24"/>
          <w:szCs w:val="24"/>
          <w:lang w:val="en-US"/>
        </w:rPr>
        <w:t>. 2011.05.014.</w:t>
      </w:r>
    </w:p>
    <w:p w14:paraId="524B7ABD" w14:textId="5F935486" w:rsidR="00BA748F" w:rsidRPr="00CD5AEC" w:rsidRDefault="00E73747" w:rsidP="00CD5AEC">
      <w:pPr>
        <w:spacing w:after="120" w:line="240" w:lineRule="auto"/>
        <w:rPr>
          <w:rFonts w:ascii="Times New Roman" w:hAnsi="Times New Roman" w:cs="Times New Roman"/>
          <w:sz w:val="24"/>
          <w:szCs w:val="24"/>
        </w:rPr>
      </w:pPr>
      <w:r w:rsidRPr="00CD5AEC">
        <w:rPr>
          <w:rFonts w:ascii="Times New Roman" w:hAnsi="Times New Roman" w:cs="Times New Roman"/>
          <w:sz w:val="24"/>
          <w:szCs w:val="24"/>
          <w:lang w:val="en-US"/>
        </w:rPr>
        <w:t>KRUIJNE, R., J.W. DENEER, J. LAHR AND J. VLAMING</w:t>
      </w:r>
      <w:r w:rsidR="00BA748F" w:rsidRPr="00CD5AEC">
        <w:rPr>
          <w:rFonts w:ascii="Times New Roman" w:hAnsi="Times New Roman" w:cs="Times New Roman"/>
          <w:sz w:val="24"/>
          <w:szCs w:val="24"/>
          <w:lang w:val="en-US"/>
        </w:rPr>
        <w:t xml:space="preserve">, 2011. Calculating risk indicators related to agricultural use of pesticides within the European Union. </w:t>
      </w:r>
      <w:r w:rsidR="00BA748F" w:rsidRPr="00CD5AEC">
        <w:rPr>
          <w:rFonts w:ascii="Times New Roman" w:hAnsi="Times New Roman" w:cs="Times New Roman"/>
          <w:sz w:val="24"/>
          <w:szCs w:val="24"/>
        </w:rPr>
        <w:t xml:space="preserve">Wageningen, </w:t>
      </w:r>
      <w:proofErr w:type="spellStart"/>
      <w:r w:rsidR="00BA748F" w:rsidRPr="00CD5AEC">
        <w:rPr>
          <w:rFonts w:ascii="Times New Roman" w:hAnsi="Times New Roman" w:cs="Times New Roman"/>
          <w:sz w:val="24"/>
          <w:szCs w:val="24"/>
        </w:rPr>
        <w:t>Alterra</w:t>
      </w:r>
      <w:proofErr w:type="spellEnd"/>
      <w:r w:rsidR="00BA748F" w:rsidRPr="00CD5AEC">
        <w:rPr>
          <w:rFonts w:ascii="Times New Roman" w:hAnsi="Times New Roman" w:cs="Times New Roman"/>
          <w:sz w:val="24"/>
          <w:szCs w:val="24"/>
        </w:rPr>
        <w:t xml:space="preserve">, </w:t>
      </w:r>
      <w:proofErr w:type="spellStart"/>
      <w:r w:rsidR="00BA748F" w:rsidRPr="00CD5AEC">
        <w:rPr>
          <w:rFonts w:ascii="Times New Roman" w:hAnsi="Times New Roman" w:cs="Times New Roman"/>
          <w:sz w:val="24"/>
          <w:szCs w:val="24"/>
        </w:rPr>
        <w:t>Alterra</w:t>
      </w:r>
      <w:proofErr w:type="spellEnd"/>
      <w:r w:rsidR="00BA748F" w:rsidRPr="00CD5AEC">
        <w:rPr>
          <w:rFonts w:ascii="Times New Roman" w:hAnsi="Times New Roman" w:cs="Times New Roman"/>
          <w:sz w:val="24"/>
          <w:szCs w:val="24"/>
        </w:rPr>
        <w:t>-report 2113.1, 202 pp.</w:t>
      </w:r>
    </w:p>
    <w:p w14:paraId="34B08FE2" w14:textId="6A2AA61D" w:rsidR="00BA748F" w:rsidRPr="00CD5AEC" w:rsidRDefault="00E73747" w:rsidP="00CD5AEC">
      <w:pPr>
        <w:spacing w:after="120" w:line="240" w:lineRule="auto"/>
        <w:rPr>
          <w:rFonts w:ascii="Times New Roman" w:hAnsi="Times New Roman" w:cs="Times New Roman"/>
          <w:sz w:val="24"/>
          <w:szCs w:val="24"/>
          <w:shd w:val="clear" w:color="auto" w:fill="FFFFFF"/>
        </w:rPr>
      </w:pPr>
      <w:r w:rsidRPr="00CD5AEC">
        <w:rPr>
          <w:rFonts w:ascii="Times New Roman" w:hAnsi="Times New Roman" w:cs="Times New Roman"/>
          <w:sz w:val="24"/>
          <w:szCs w:val="24"/>
          <w:shd w:val="clear" w:color="auto" w:fill="FFFFFF"/>
          <w:lang w:val="fr-BE"/>
        </w:rPr>
        <w:t>LEHMANN, E., TURRERO, N., KOLIA, M., KONATÉ, Y</w:t>
      </w:r>
      <w:r w:rsidR="00BA748F" w:rsidRPr="00CD5AEC">
        <w:rPr>
          <w:rFonts w:ascii="Times New Roman" w:hAnsi="Times New Roman" w:cs="Times New Roman"/>
          <w:sz w:val="24"/>
          <w:szCs w:val="24"/>
          <w:shd w:val="clear" w:color="auto" w:fill="FFFFFF"/>
          <w:lang w:val="fr-BE"/>
        </w:rPr>
        <w:t xml:space="preserve">., et De </w:t>
      </w:r>
      <w:r w:rsidRPr="00CD5AEC">
        <w:rPr>
          <w:rFonts w:ascii="Times New Roman" w:hAnsi="Times New Roman" w:cs="Times New Roman"/>
          <w:sz w:val="24"/>
          <w:szCs w:val="24"/>
          <w:shd w:val="clear" w:color="auto" w:fill="FFFFFF"/>
          <w:lang w:val="fr-BE"/>
        </w:rPr>
        <w:t>ALENCASTRO, L. F.</w:t>
      </w:r>
      <w:r w:rsidR="00BA748F" w:rsidRPr="00CD5AEC">
        <w:rPr>
          <w:rFonts w:ascii="Times New Roman" w:hAnsi="Times New Roman" w:cs="Times New Roman"/>
          <w:sz w:val="24"/>
          <w:szCs w:val="24"/>
          <w:shd w:val="clear" w:color="auto" w:fill="FFFFFF"/>
          <w:lang w:val="fr-BE"/>
        </w:rPr>
        <w:t xml:space="preserve">, 2017. </w:t>
      </w:r>
      <w:r w:rsidR="00BA748F" w:rsidRPr="00CD5AEC">
        <w:rPr>
          <w:rFonts w:ascii="Times New Roman" w:hAnsi="Times New Roman" w:cs="Times New Roman"/>
          <w:sz w:val="24"/>
          <w:szCs w:val="24"/>
          <w:shd w:val="clear" w:color="auto" w:fill="FFFFFF"/>
          <w:lang w:val="en-US"/>
        </w:rPr>
        <w:t xml:space="preserve">Dietary risk assessment of pesticides from vegetables and drinking water in gardening areas in Burkina Faso. </w:t>
      </w:r>
      <w:r w:rsidR="00BA748F" w:rsidRPr="00CD5AEC">
        <w:rPr>
          <w:rFonts w:ascii="Times New Roman" w:hAnsi="Times New Roman" w:cs="Times New Roman"/>
          <w:i/>
          <w:iCs/>
          <w:sz w:val="24"/>
          <w:szCs w:val="24"/>
        </w:rPr>
        <w:t xml:space="preserve">Science of the Total </w:t>
      </w:r>
      <w:proofErr w:type="spellStart"/>
      <w:r w:rsidR="00BA748F" w:rsidRPr="00CD5AEC">
        <w:rPr>
          <w:rFonts w:ascii="Times New Roman" w:hAnsi="Times New Roman" w:cs="Times New Roman"/>
          <w:i/>
          <w:iCs/>
          <w:sz w:val="24"/>
          <w:szCs w:val="24"/>
        </w:rPr>
        <w:t>Environment</w:t>
      </w:r>
      <w:proofErr w:type="spellEnd"/>
      <w:r w:rsidR="00BA748F" w:rsidRPr="00CD5AEC">
        <w:rPr>
          <w:rFonts w:ascii="Times New Roman" w:hAnsi="Times New Roman" w:cs="Times New Roman"/>
          <w:sz w:val="24"/>
          <w:szCs w:val="24"/>
          <w:shd w:val="clear" w:color="auto" w:fill="FFFFFF"/>
        </w:rPr>
        <w:t xml:space="preserve">, </w:t>
      </w:r>
      <w:r w:rsidR="00BA748F" w:rsidRPr="00CD5AEC">
        <w:rPr>
          <w:rFonts w:ascii="Times New Roman" w:hAnsi="Times New Roman" w:cs="Times New Roman"/>
          <w:i/>
          <w:iCs/>
          <w:sz w:val="24"/>
          <w:szCs w:val="24"/>
        </w:rPr>
        <w:t>601</w:t>
      </w:r>
      <w:r w:rsidR="00BA748F" w:rsidRPr="00CD5AEC">
        <w:rPr>
          <w:rFonts w:ascii="Times New Roman" w:hAnsi="Times New Roman" w:cs="Times New Roman"/>
          <w:sz w:val="24"/>
          <w:szCs w:val="24"/>
          <w:shd w:val="clear" w:color="auto" w:fill="FFFFFF"/>
        </w:rPr>
        <w:t>, 1208-1216.</w:t>
      </w:r>
    </w:p>
    <w:p w14:paraId="748CA82A" w14:textId="77777777" w:rsidR="00BA748F" w:rsidRPr="00CD5AEC" w:rsidRDefault="00BA748F" w:rsidP="00CD5AEC">
      <w:pPr>
        <w:spacing w:after="120" w:line="240" w:lineRule="auto"/>
        <w:rPr>
          <w:rFonts w:ascii="Times New Roman" w:hAnsi="Times New Roman" w:cs="Times New Roman"/>
          <w:sz w:val="24"/>
          <w:szCs w:val="24"/>
        </w:rPr>
      </w:pPr>
      <w:r w:rsidRPr="00CD5AEC">
        <w:rPr>
          <w:rFonts w:ascii="Times New Roman" w:hAnsi="Times New Roman" w:cs="Times New Roman"/>
          <w:sz w:val="24"/>
          <w:szCs w:val="24"/>
        </w:rPr>
        <w:t>MAAH, 2011. Rapport d’analyse du module maraîchage. Ouagadougou, Burkina Faso 237p.</w:t>
      </w:r>
    </w:p>
    <w:p w14:paraId="531C5602" w14:textId="619005F6" w:rsidR="00BA748F" w:rsidRPr="00CD5AEC" w:rsidRDefault="00E73747" w:rsidP="00CD5AEC">
      <w:pPr>
        <w:spacing w:after="120" w:line="240" w:lineRule="auto"/>
        <w:rPr>
          <w:rFonts w:ascii="Times New Roman" w:hAnsi="Times New Roman" w:cs="Times New Roman"/>
          <w:sz w:val="24"/>
          <w:szCs w:val="24"/>
          <w:lang w:val="en-US"/>
        </w:rPr>
      </w:pPr>
      <w:r w:rsidRPr="00CD5AEC">
        <w:rPr>
          <w:rFonts w:ascii="Times New Roman" w:hAnsi="Times New Roman" w:cs="Times New Roman"/>
          <w:sz w:val="24"/>
          <w:szCs w:val="24"/>
        </w:rPr>
        <w:t xml:space="preserve">MAMY L., BARRIUSO </w:t>
      </w:r>
      <w:r w:rsidR="00BA748F" w:rsidRPr="00CD5AEC">
        <w:rPr>
          <w:rFonts w:ascii="Times New Roman" w:hAnsi="Times New Roman" w:cs="Times New Roman"/>
          <w:sz w:val="24"/>
          <w:szCs w:val="24"/>
        </w:rPr>
        <w:t xml:space="preserve">E. et </w:t>
      </w:r>
      <w:r w:rsidRPr="00CD5AEC">
        <w:rPr>
          <w:rFonts w:ascii="Times New Roman" w:hAnsi="Times New Roman" w:cs="Times New Roman"/>
          <w:sz w:val="24"/>
          <w:szCs w:val="24"/>
        </w:rPr>
        <w:t xml:space="preserve">GABRIELLE </w:t>
      </w:r>
      <w:r w:rsidR="00BA748F" w:rsidRPr="00CD5AEC">
        <w:rPr>
          <w:rFonts w:ascii="Times New Roman" w:hAnsi="Times New Roman" w:cs="Times New Roman"/>
          <w:sz w:val="24"/>
          <w:szCs w:val="24"/>
        </w:rPr>
        <w:t xml:space="preserve">B., 2008. Evaluer les risques environnementaux des pesticides. Exemple du désherbage des cultures résistantes ou non au glyphosate. </w:t>
      </w:r>
      <w:r w:rsidR="00BA748F" w:rsidRPr="00CD5AEC">
        <w:rPr>
          <w:rFonts w:ascii="Times New Roman" w:hAnsi="Times New Roman" w:cs="Times New Roman"/>
          <w:i/>
          <w:sz w:val="24"/>
          <w:szCs w:val="24"/>
          <w:lang w:val="en-US"/>
        </w:rPr>
        <w:t xml:space="preserve">Innovation </w:t>
      </w:r>
      <w:proofErr w:type="spellStart"/>
      <w:r w:rsidR="00BA748F" w:rsidRPr="00CD5AEC">
        <w:rPr>
          <w:rFonts w:ascii="Times New Roman" w:hAnsi="Times New Roman" w:cs="Times New Roman"/>
          <w:i/>
          <w:sz w:val="24"/>
          <w:szCs w:val="24"/>
          <w:lang w:val="en-US"/>
        </w:rPr>
        <w:t>Agronomique</w:t>
      </w:r>
      <w:proofErr w:type="spellEnd"/>
      <w:r w:rsidR="00BA748F" w:rsidRPr="00CD5AEC">
        <w:rPr>
          <w:rFonts w:ascii="Times New Roman" w:hAnsi="Times New Roman" w:cs="Times New Roman"/>
          <w:i/>
          <w:sz w:val="24"/>
          <w:szCs w:val="24"/>
          <w:lang w:val="en-US"/>
        </w:rPr>
        <w:t xml:space="preserve"> </w:t>
      </w:r>
      <w:r w:rsidR="00BA748F" w:rsidRPr="00CD5AEC">
        <w:rPr>
          <w:rFonts w:ascii="Times New Roman" w:hAnsi="Times New Roman" w:cs="Times New Roman"/>
          <w:sz w:val="24"/>
          <w:szCs w:val="24"/>
          <w:lang w:val="en-US"/>
        </w:rPr>
        <w:t>(3), 131-143.</w:t>
      </w:r>
    </w:p>
    <w:p w14:paraId="011C6339" w14:textId="1D162D68" w:rsidR="00BA748F" w:rsidRPr="00CD5AEC" w:rsidRDefault="00E73747" w:rsidP="00CD5AEC">
      <w:pPr>
        <w:spacing w:after="120" w:line="240" w:lineRule="auto"/>
        <w:rPr>
          <w:rFonts w:ascii="Times New Roman" w:hAnsi="Times New Roman" w:cs="Times New Roman"/>
          <w:sz w:val="24"/>
          <w:szCs w:val="24"/>
          <w:lang w:val="en-US"/>
        </w:rPr>
      </w:pPr>
      <w:r w:rsidRPr="00CD5AEC">
        <w:rPr>
          <w:rFonts w:ascii="Times New Roman" w:hAnsi="Times New Roman" w:cs="Times New Roman"/>
          <w:sz w:val="24"/>
          <w:szCs w:val="24"/>
          <w:lang w:val="en-US"/>
        </w:rPr>
        <w:t xml:space="preserve">NARÉ R. W. A., SAVADOGO P. W., GNANKAMBARY Z., NACRO </w:t>
      </w:r>
      <w:r w:rsidR="00BA748F" w:rsidRPr="00CD5AEC">
        <w:rPr>
          <w:rFonts w:ascii="Times New Roman" w:hAnsi="Times New Roman" w:cs="Times New Roman"/>
          <w:sz w:val="24"/>
          <w:szCs w:val="24"/>
          <w:lang w:val="en-US"/>
        </w:rPr>
        <w:t xml:space="preserve">H. B. et </w:t>
      </w:r>
      <w:r w:rsidRPr="00CD5AEC">
        <w:rPr>
          <w:rFonts w:ascii="Times New Roman" w:hAnsi="Times New Roman" w:cs="Times New Roman"/>
          <w:sz w:val="24"/>
          <w:szCs w:val="24"/>
          <w:lang w:val="en-US"/>
        </w:rPr>
        <w:t xml:space="preserve">SEDOGO </w:t>
      </w:r>
      <w:r w:rsidR="00BA748F" w:rsidRPr="00CD5AEC">
        <w:rPr>
          <w:rFonts w:ascii="Times New Roman" w:hAnsi="Times New Roman" w:cs="Times New Roman"/>
          <w:sz w:val="24"/>
          <w:szCs w:val="24"/>
          <w:lang w:val="en-US"/>
        </w:rPr>
        <w:t xml:space="preserve">P. M., </w:t>
      </w:r>
      <w:r w:rsidR="00CD2BF9" w:rsidRPr="00CD5AEC">
        <w:rPr>
          <w:rFonts w:ascii="Times New Roman" w:hAnsi="Times New Roman" w:cs="Times New Roman"/>
          <w:sz w:val="24"/>
          <w:szCs w:val="24"/>
          <w:lang w:val="en-US"/>
        </w:rPr>
        <w:t>2015 Analyzing</w:t>
      </w:r>
      <w:r w:rsidR="00BA748F" w:rsidRPr="00CD5AEC">
        <w:rPr>
          <w:rFonts w:ascii="Times New Roman" w:hAnsi="Times New Roman" w:cs="Times New Roman"/>
          <w:sz w:val="24"/>
          <w:szCs w:val="24"/>
          <w:lang w:val="en-US"/>
        </w:rPr>
        <w:t xml:space="preserve"> Risks Related to the Use of Pesticides in Vegetable Gardens in Burkina Faso. </w:t>
      </w:r>
      <w:r w:rsidR="00BA748F" w:rsidRPr="00CD5AEC">
        <w:rPr>
          <w:rFonts w:ascii="Times New Roman" w:hAnsi="Times New Roman" w:cs="Times New Roman"/>
          <w:i/>
          <w:sz w:val="24"/>
          <w:szCs w:val="24"/>
          <w:lang w:val="en-US"/>
        </w:rPr>
        <w:t>Agriculture, Forestry and Fisheries</w:t>
      </w:r>
      <w:r w:rsidR="00BA748F" w:rsidRPr="00CD5AEC">
        <w:rPr>
          <w:rFonts w:ascii="Times New Roman" w:hAnsi="Times New Roman" w:cs="Times New Roman"/>
          <w:sz w:val="24"/>
          <w:szCs w:val="24"/>
          <w:lang w:val="en-US"/>
        </w:rPr>
        <w:t>, 2015; 4(4): 165-172.</w:t>
      </w:r>
    </w:p>
    <w:p w14:paraId="391722AD" w14:textId="2498F5CB" w:rsidR="00BA748F" w:rsidRPr="00CD5AEC" w:rsidRDefault="00E73747" w:rsidP="00CD5AEC">
      <w:pPr>
        <w:autoSpaceDE w:val="0"/>
        <w:autoSpaceDN w:val="0"/>
        <w:adjustRightInd w:val="0"/>
        <w:spacing w:after="120" w:line="240" w:lineRule="auto"/>
        <w:rPr>
          <w:rFonts w:ascii="Times New Roman" w:hAnsi="Times New Roman" w:cs="Times New Roman"/>
          <w:sz w:val="24"/>
          <w:szCs w:val="24"/>
          <w:lang w:val="en-US"/>
        </w:rPr>
      </w:pPr>
      <w:r w:rsidRPr="00CD5AEC">
        <w:rPr>
          <w:rFonts w:ascii="Times New Roman" w:hAnsi="Times New Roman" w:cs="Times New Roman"/>
          <w:sz w:val="24"/>
          <w:szCs w:val="24"/>
          <w:lang w:val="en-US"/>
        </w:rPr>
        <w:t xml:space="preserve">NARÉ RWA, SAVADOGO PW, GNANKAMBARY Z, NACRO HB, SEDOGO </w:t>
      </w:r>
      <w:r w:rsidR="00BA748F" w:rsidRPr="00CD5AEC">
        <w:rPr>
          <w:rFonts w:ascii="Times New Roman" w:hAnsi="Times New Roman" w:cs="Times New Roman"/>
          <w:sz w:val="24"/>
          <w:szCs w:val="24"/>
          <w:lang w:val="en-US"/>
        </w:rPr>
        <w:t xml:space="preserve">PM. 2014. Effect of three pesticides on soil dehydrogenase and fluorescein diacetate activities in vegetable garden in Burkina Faso. </w:t>
      </w:r>
      <w:r w:rsidR="00BA748F" w:rsidRPr="00CD5AEC">
        <w:rPr>
          <w:rFonts w:ascii="Times New Roman" w:hAnsi="Times New Roman" w:cs="Times New Roman"/>
          <w:i/>
          <w:sz w:val="24"/>
          <w:szCs w:val="24"/>
          <w:lang w:val="en-US"/>
        </w:rPr>
        <w:t>Current Research Journal of Biological Sciences</w:t>
      </w:r>
      <w:r w:rsidR="00BA748F" w:rsidRPr="00CD5AEC">
        <w:rPr>
          <w:rFonts w:ascii="Times New Roman" w:hAnsi="Times New Roman" w:cs="Times New Roman"/>
          <w:sz w:val="24"/>
          <w:szCs w:val="24"/>
          <w:lang w:val="en-US"/>
        </w:rPr>
        <w:t xml:space="preserve"> 6 (2): 102–106.</w:t>
      </w:r>
    </w:p>
    <w:p w14:paraId="479A1DB1" w14:textId="306DEF01" w:rsidR="00BA748F" w:rsidRPr="00CD5AEC" w:rsidRDefault="00E73747" w:rsidP="00CD5AEC">
      <w:pPr>
        <w:spacing w:after="120" w:line="240" w:lineRule="auto"/>
        <w:rPr>
          <w:rFonts w:ascii="Times New Roman" w:hAnsi="Times New Roman" w:cs="Times New Roman"/>
          <w:sz w:val="24"/>
          <w:szCs w:val="24"/>
          <w:lang w:val="en-US"/>
        </w:rPr>
      </w:pPr>
      <w:r w:rsidRPr="00CD5AEC">
        <w:rPr>
          <w:rFonts w:ascii="Times New Roman" w:hAnsi="Times New Roman" w:cs="Times New Roman"/>
          <w:sz w:val="24"/>
          <w:szCs w:val="24"/>
          <w:shd w:val="clear" w:color="auto" w:fill="FFFFFF"/>
          <w:lang w:val="en-US"/>
        </w:rPr>
        <w:t xml:space="preserve">OUÉDRAOGO R. A., CHARTIN C., KAMBIRÉ F. C., VAN WESEMAEL B., DELVAUX B., MILOGO </w:t>
      </w:r>
      <w:r w:rsidR="00BA748F" w:rsidRPr="00CD5AEC">
        <w:rPr>
          <w:rFonts w:ascii="Times New Roman" w:hAnsi="Times New Roman" w:cs="Times New Roman"/>
          <w:sz w:val="24"/>
          <w:szCs w:val="24"/>
          <w:shd w:val="clear" w:color="auto" w:fill="FFFFFF"/>
          <w:lang w:val="en-US"/>
        </w:rPr>
        <w:t xml:space="preserve">H., and </w:t>
      </w:r>
      <w:r w:rsidRPr="00CD5AEC">
        <w:rPr>
          <w:rFonts w:ascii="Times New Roman" w:hAnsi="Times New Roman" w:cs="Times New Roman"/>
          <w:sz w:val="24"/>
          <w:szCs w:val="24"/>
          <w:shd w:val="clear" w:color="auto" w:fill="FFFFFF"/>
          <w:lang w:val="en-US"/>
        </w:rPr>
        <w:t xml:space="preserve">BIELDERS </w:t>
      </w:r>
      <w:r w:rsidR="00BA748F" w:rsidRPr="00CD5AEC">
        <w:rPr>
          <w:rFonts w:ascii="Times New Roman" w:hAnsi="Times New Roman" w:cs="Times New Roman"/>
          <w:sz w:val="24"/>
          <w:szCs w:val="24"/>
          <w:shd w:val="clear" w:color="auto" w:fill="FFFFFF"/>
          <w:lang w:val="en-US"/>
        </w:rPr>
        <w:t xml:space="preserve">C. L., 2020. Short and long-term impact of urban gardening on soil organic carbon fractions in </w:t>
      </w:r>
      <w:proofErr w:type="spellStart"/>
      <w:r w:rsidR="00BA748F" w:rsidRPr="00CD5AEC">
        <w:rPr>
          <w:rFonts w:ascii="Times New Roman" w:hAnsi="Times New Roman" w:cs="Times New Roman"/>
          <w:sz w:val="24"/>
          <w:szCs w:val="24"/>
          <w:shd w:val="clear" w:color="auto" w:fill="FFFFFF"/>
          <w:lang w:val="en-US"/>
        </w:rPr>
        <w:t>Lixisols</w:t>
      </w:r>
      <w:proofErr w:type="spellEnd"/>
      <w:r w:rsidR="00BA748F" w:rsidRPr="00CD5AEC">
        <w:rPr>
          <w:rFonts w:ascii="Times New Roman" w:hAnsi="Times New Roman" w:cs="Times New Roman"/>
          <w:sz w:val="24"/>
          <w:szCs w:val="24"/>
          <w:shd w:val="clear" w:color="auto" w:fill="FFFFFF"/>
          <w:lang w:val="en-US"/>
        </w:rPr>
        <w:t xml:space="preserve"> (Burkina Faso). </w:t>
      </w:r>
      <w:proofErr w:type="spellStart"/>
      <w:r w:rsidR="00BA748F" w:rsidRPr="00CD5AEC">
        <w:rPr>
          <w:rFonts w:ascii="Times New Roman" w:hAnsi="Times New Roman" w:cs="Times New Roman"/>
          <w:i/>
          <w:iCs/>
          <w:sz w:val="24"/>
          <w:szCs w:val="24"/>
          <w:lang w:val="en-US"/>
        </w:rPr>
        <w:t>Geoderma</w:t>
      </w:r>
      <w:proofErr w:type="spellEnd"/>
      <w:r w:rsidR="00BA748F" w:rsidRPr="00CD5AEC">
        <w:rPr>
          <w:rFonts w:ascii="Times New Roman" w:hAnsi="Times New Roman" w:cs="Times New Roman"/>
          <w:sz w:val="24"/>
          <w:szCs w:val="24"/>
          <w:shd w:val="clear" w:color="auto" w:fill="FFFFFF"/>
          <w:lang w:val="en-US"/>
        </w:rPr>
        <w:t xml:space="preserve">, </w:t>
      </w:r>
      <w:r w:rsidR="00BA748F" w:rsidRPr="00CD5AEC">
        <w:rPr>
          <w:rFonts w:ascii="Times New Roman" w:hAnsi="Times New Roman" w:cs="Times New Roman"/>
          <w:iCs/>
          <w:sz w:val="24"/>
          <w:szCs w:val="24"/>
          <w:lang w:val="en-US"/>
        </w:rPr>
        <w:t>362</w:t>
      </w:r>
      <w:r w:rsidR="00BA748F" w:rsidRPr="00CD5AEC">
        <w:rPr>
          <w:rFonts w:ascii="Times New Roman" w:hAnsi="Times New Roman" w:cs="Times New Roman"/>
          <w:sz w:val="24"/>
          <w:szCs w:val="24"/>
          <w:shd w:val="clear" w:color="auto" w:fill="FFFFFF"/>
          <w:lang w:val="en-US"/>
        </w:rPr>
        <w:t>, 114110.</w:t>
      </w:r>
      <w:r w:rsidR="00BA748F" w:rsidRPr="00CD5AEC" w:rsidDel="007207A3">
        <w:rPr>
          <w:rFonts w:ascii="Times New Roman" w:hAnsi="Times New Roman" w:cs="Times New Roman"/>
          <w:sz w:val="24"/>
          <w:szCs w:val="24"/>
          <w:shd w:val="clear" w:color="auto" w:fill="FFFFFF"/>
          <w:lang w:val="en-US"/>
        </w:rPr>
        <w:t xml:space="preserve"> </w:t>
      </w:r>
    </w:p>
    <w:p w14:paraId="7E71E23E" w14:textId="1DE2DC03" w:rsidR="00BA748F" w:rsidRPr="00CD5AEC" w:rsidRDefault="00E73747" w:rsidP="00CD5AEC">
      <w:pPr>
        <w:spacing w:after="120" w:line="240" w:lineRule="auto"/>
        <w:rPr>
          <w:rFonts w:ascii="Times New Roman" w:hAnsi="Times New Roman" w:cs="Times New Roman"/>
          <w:sz w:val="24"/>
          <w:szCs w:val="24"/>
          <w:lang w:val="en-GB"/>
        </w:rPr>
      </w:pPr>
      <w:r w:rsidRPr="00CD5AEC">
        <w:rPr>
          <w:rFonts w:ascii="Times New Roman" w:hAnsi="Times New Roman" w:cs="Times New Roman"/>
          <w:sz w:val="24"/>
          <w:szCs w:val="24"/>
          <w:lang w:val="en-GB"/>
        </w:rPr>
        <w:t>OUÉDRAOGO R.A., KAMBIRÉ F.C., KESTEMONT M-P., BIELDERS</w:t>
      </w:r>
      <w:r w:rsidR="00BA748F" w:rsidRPr="00CD5AEC">
        <w:rPr>
          <w:rFonts w:ascii="Times New Roman" w:hAnsi="Times New Roman" w:cs="Times New Roman"/>
          <w:sz w:val="24"/>
          <w:szCs w:val="24"/>
          <w:lang w:val="en-GB"/>
        </w:rPr>
        <w:t xml:space="preserve"> C.L. 2019. </w:t>
      </w:r>
      <w:r w:rsidR="00BA748F" w:rsidRPr="00CD5AEC">
        <w:rPr>
          <w:rFonts w:ascii="Times New Roman" w:hAnsi="Times New Roman" w:cs="Times New Roman"/>
          <w:sz w:val="24"/>
          <w:szCs w:val="24"/>
        </w:rPr>
        <w:t>Caractériser la diversité des exploitations</w:t>
      </w:r>
      <w:r w:rsidRPr="00CD5AEC">
        <w:rPr>
          <w:rFonts w:ascii="Times New Roman" w:hAnsi="Times New Roman" w:cs="Times New Roman"/>
          <w:sz w:val="24"/>
          <w:szCs w:val="24"/>
        </w:rPr>
        <w:t xml:space="preserve"> </w:t>
      </w:r>
      <w:r w:rsidR="00BA748F" w:rsidRPr="00CD5AEC">
        <w:rPr>
          <w:rFonts w:ascii="Times New Roman" w:hAnsi="Times New Roman" w:cs="Times New Roman"/>
          <w:sz w:val="24"/>
          <w:szCs w:val="24"/>
        </w:rPr>
        <w:t xml:space="preserve">maraîchères de la région de Bobo-Dioulasso au Burkina Faso pour faciliter leur transition </w:t>
      </w:r>
      <w:proofErr w:type="spellStart"/>
      <w:r w:rsidR="00BA748F" w:rsidRPr="00CD5AEC">
        <w:rPr>
          <w:rFonts w:ascii="Times New Roman" w:hAnsi="Times New Roman" w:cs="Times New Roman"/>
          <w:sz w:val="24"/>
          <w:szCs w:val="24"/>
        </w:rPr>
        <w:t>agroécologique</w:t>
      </w:r>
      <w:proofErr w:type="spellEnd"/>
      <w:r w:rsidR="00BA748F" w:rsidRPr="00CD5AEC">
        <w:rPr>
          <w:rFonts w:ascii="Times New Roman" w:hAnsi="Times New Roman" w:cs="Times New Roman"/>
          <w:sz w:val="24"/>
          <w:szCs w:val="24"/>
        </w:rPr>
        <w:t xml:space="preserve">. </w:t>
      </w:r>
      <w:proofErr w:type="spellStart"/>
      <w:r w:rsidR="00BA748F" w:rsidRPr="00CD5AEC">
        <w:rPr>
          <w:rFonts w:ascii="Times New Roman" w:hAnsi="Times New Roman" w:cs="Times New Roman"/>
          <w:i/>
          <w:sz w:val="24"/>
          <w:szCs w:val="24"/>
          <w:lang w:val="en-GB"/>
        </w:rPr>
        <w:t>Cah</w:t>
      </w:r>
      <w:proofErr w:type="spellEnd"/>
      <w:r w:rsidR="00BA748F" w:rsidRPr="00CD5AEC">
        <w:rPr>
          <w:rFonts w:ascii="Times New Roman" w:hAnsi="Times New Roman" w:cs="Times New Roman"/>
          <w:i/>
          <w:sz w:val="24"/>
          <w:szCs w:val="24"/>
          <w:lang w:val="en-GB"/>
        </w:rPr>
        <w:t>. Agric.</w:t>
      </w:r>
      <w:r w:rsidR="00BA748F" w:rsidRPr="00CD5AEC">
        <w:rPr>
          <w:rFonts w:ascii="Times New Roman" w:hAnsi="Times New Roman" w:cs="Times New Roman"/>
          <w:sz w:val="24"/>
          <w:szCs w:val="24"/>
          <w:lang w:val="en-GB"/>
        </w:rPr>
        <w:t xml:space="preserve">28: 20. </w:t>
      </w:r>
    </w:p>
    <w:p w14:paraId="485A2FBE" w14:textId="392FC8E0" w:rsidR="00A23217" w:rsidRPr="00CD5AEC" w:rsidRDefault="00E73747" w:rsidP="00CD5AEC">
      <w:pPr>
        <w:spacing w:after="120" w:line="240" w:lineRule="auto"/>
        <w:rPr>
          <w:rFonts w:ascii="Times New Roman" w:hAnsi="Times New Roman" w:cs="Times New Roman"/>
          <w:sz w:val="24"/>
          <w:szCs w:val="24"/>
          <w:lang w:val="en-US"/>
        </w:rPr>
      </w:pPr>
      <w:r w:rsidRPr="00CD5AEC">
        <w:rPr>
          <w:rFonts w:ascii="Times New Roman" w:hAnsi="Times New Roman" w:cs="Times New Roman"/>
          <w:sz w:val="24"/>
          <w:szCs w:val="24"/>
          <w:lang w:val="en-GB"/>
        </w:rPr>
        <w:t>PADOVANI L., TREVISAN M. ET CAPRI</w:t>
      </w:r>
      <w:r w:rsidR="00A23217" w:rsidRPr="00CD5AEC">
        <w:rPr>
          <w:rFonts w:ascii="Times New Roman" w:hAnsi="Times New Roman" w:cs="Times New Roman"/>
          <w:sz w:val="24"/>
          <w:szCs w:val="24"/>
          <w:lang w:val="en-GB"/>
        </w:rPr>
        <w:t xml:space="preserve"> E., 2004. </w:t>
      </w:r>
      <w:r w:rsidR="00A23217" w:rsidRPr="00CD5AEC">
        <w:rPr>
          <w:rFonts w:ascii="Times New Roman" w:hAnsi="Times New Roman" w:cs="Times New Roman"/>
          <w:sz w:val="24"/>
          <w:szCs w:val="24"/>
          <w:lang w:val="en-US"/>
        </w:rPr>
        <w:t xml:space="preserve">A calculation procedure to assess potential environmental risk of pesticides at the farm level. </w:t>
      </w:r>
      <w:r w:rsidR="00A23217" w:rsidRPr="00CD5AEC">
        <w:rPr>
          <w:rFonts w:ascii="Times New Roman" w:hAnsi="Times New Roman" w:cs="Times New Roman"/>
          <w:i/>
          <w:sz w:val="24"/>
          <w:szCs w:val="24"/>
          <w:lang w:val="en-US"/>
        </w:rPr>
        <w:t>Ecological Indicators</w:t>
      </w:r>
      <w:r w:rsidR="00A23217" w:rsidRPr="00CD5AEC">
        <w:rPr>
          <w:rFonts w:ascii="Times New Roman" w:hAnsi="Times New Roman" w:cs="Times New Roman"/>
          <w:sz w:val="24"/>
          <w:szCs w:val="24"/>
          <w:lang w:val="en-US"/>
        </w:rPr>
        <w:t xml:space="preserve"> (4) 111-123.</w:t>
      </w:r>
    </w:p>
    <w:p w14:paraId="720167A5" w14:textId="5F8D9E0A" w:rsidR="00BA748F" w:rsidRPr="00CD5AEC" w:rsidRDefault="00E73747" w:rsidP="00CD5AEC">
      <w:pPr>
        <w:spacing w:after="120" w:line="240" w:lineRule="auto"/>
        <w:rPr>
          <w:rFonts w:ascii="Times New Roman" w:hAnsi="Times New Roman" w:cs="Times New Roman"/>
          <w:sz w:val="24"/>
          <w:szCs w:val="24"/>
        </w:rPr>
      </w:pPr>
      <w:r w:rsidRPr="00CD5AEC">
        <w:rPr>
          <w:rFonts w:ascii="Times New Roman" w:hAnsi="Times New Roman" w:cs="Times New Roman"/>
          <w:sz w:val="24"/>
          <w:szCs w:val="24"/>
          <w:lang w:val="en-US"/>
        </w:rPr>
        <w:t>RÄSÄNEN K., MATTILA T., PORVARI P., KURPPA S. et TIILIKALA</w:t>
      </w:r>
      <w:r w:rsidR="00BA748F" w:rsidRPr="00CD5AEC">
        <w:rPr>
          <w:rFonts w:ascii="Times New Roman" w:hAnsi="Times New Roman" w:cs="Times New Roman"/>
          <w:sz w:val="24"/>
          <w:szCs w:val="24"/>
          <w:lang w:val="en-US"/>
        </w:rPr>
        <w:t xml:space="preserve"> K., 2015. Estimating the development of </w:t>
      </w:r>
      <w:proofErr w:type="spellStart"/>
      <w:r w:rsidR="00BA748F" w:rsidRPr="00CD5AEC">
        <w:rPr>
          <w:rFonts w:ascii="Times New Roman" w:hAnsi="Times New Roman" w:cs="Times New Roman"/>
          <w:sz w:val="24"/>
          <w:szCs w:val="24"/>
          <w:lang w:val="en-US"/>
        </w:rPr>
        <w:t>ecotoxicological</w:t>
      </w:r>
      <w:proofErr w:type="spellEnd"/>
      <w:r w:rsidR="00BA748F" w:rsidRPr="00CD5AEC">
        <w:rPr>
          <w:rFonts w:ascii="Times New Roman" w:hAnsi="Times New Roman" w:cs="Times New Roman"/>
          <w:sz w:val="24"/>
          <w:szCs w:val="24"/>
          <w:lang w:val="en-US"/>
        </w:rPr>
        <w:t xml:space="preserve"> pressure on water systems from pesticides in Finland 2000-2011. </w:t>
      </w:r>
      <w:r w:rsidR="00BA748F" w:rsidRPr="00CD5AEC">
        <w:rPr>
          <w:rFonts w:ascii="Times New Roman" w:hAnsi="Times New Roman" w:cs="Times New Roman"/>
          <w:i/>
          <w:sz w:val="24"/>
          <w:szCs w:val="24"/>
        </w:rPr>
        <w:t xml:space="preserve">Journal of </w:t>
      </w:r>
      <w:proofErr w:type="spellStart"/>
      <w:r w:rsidR="00BA748F" w:rsidRPr="00CD5AEC">
        <w:rPr>
          <w:rFonts w:ascii="Times New Roman" w:hAnsi="Times New Roman" w:cs="Times New Roman"/>
          <w:i/>
          <w:sz w:val="24"/>
          <w:szCs w:val="24"/>
        </w:rPr>
        <w:t>Cleaner</w:t>
      </w:r>
      <w:proofErr w:type="spellEnd"/>
      <w:r w:rsidR="00BA748F" w:rsidRPr="00CD5AEC">
        <w:rPr>
          <w:rFonts w:ascii="Times New Roman" w:hAnsi="Times New Roman" w:cs="Times New Roman"/>
          <w:i/>
          <w:sz w:val="24"/>
          <w:szCs w:val="24"/>
        </w:rPr>
        <w:t xml:space="preserve"> Production</w:t>
      </w:r>
      <w:r w:rsidR="00BA748F" w:rsidRPr="00CD5AEC">
        <w:rPr>
          <w:rFonts w:ascii="Times New Roman" w:hAnsi="Times New Roman" w:cs="Times New Roman"/>
          <w:sz w:val="24"/>
          <w:szCs w:val="24"/>
        </w:rPr>
        <w:t xml:space="preserve"> 89 (2015), 65-77.</w:t>
      </w:r>
    </w:p>
    <w:p w14:paraId="3AF22059" w14:textId="2E6F2A6D" w:rsidR="00BA748F" w:rsidRPr="00CD5AEC" w:rsidRDefault="00E73747" w:rsidP="00CD5AEC">
      <w:pPr>
        <w:spacing w:after="120" w:line="240" w:lineRule="auto"/>
        <w:rPr>
          <w:rFonts w:ascii="Times New Roman" w:hAnsi="Times New Roman" w:cs="Times New Roman"/>
          <w:sz w:val="24"/>
          <w:szCs w:val="24"/>
        </w:rPr>
      </w:pPr>
      <w:r w:rsidRPr="00CD5AEC">
        <w:rPr>
          <w:rFonts w:ascii="Times New Roman" w:hAnsi="Times New Roman" w:cs="Times New Roman"/>
          <w:sz w:val="24"/>
          <w:szCs w:val="24"/>
        </w:rPr>
        <w:lastRenderedPageBreak/>
        <w:t>SAMUEL, O., DION, S., ST-LAURENT,</w:t>
      </w:r>
      <w:r w:rsidR="00BA748F" w:rsidRPr="00CD5AEC">
        <w:rPr>
          <w:rFonts w:ascii="Times New Roman" w:hAnsi="Times New Roman" w:cs="Times New Roman"/>
          <w:sz w:val="24"/>
          <w:szCs w:val="24"/>
        </w:rPr>
        <w:t xml:space="preserve"> L. and </w:t>
      </w:r>
      <w:r w:rsidRPr="00CD5AEC">
        <w:rPr>
          <w:rFonts w:ascii="Times New Roman" w:hAnsi="Times New Roman" w:cs="Times New Roman"/>
          <w:sz w:val="24"/>
          <w:szCs w:val="24"/>
        </w:rPr>
        <w:t>APRIL</w:t>
      </w:r>
      <w:r w:rsidR="00BA748F" w:rsidRPr="00CD5AEC">
        <w:rPr>
          <w:rFonts w:ascii="Times New Roman" w:hAnsi="Times New Roman" w:cs="Times New Roman"/>
          <w:sz w:val="24"/>
          <w:szCs w:val="24"/>
        </w:rPr>
        <w:t xml:space="preserve">, M. H. 2007 Indicateur de risque des pesticides du Québec – </w:t>
      </w:r>
      <w:proofErr w:type="spellStart"/>
      <w:r w:rsidR="00BA748F" w:rsidRPr="00CD5AEC">
        <w:rPr>
          <w:rFonts w:ascii="Times New Roman" w:hAnsi="Times New Roman" w:cs="Times New Roman"/>
          <w:sz w:val="24"/>
          <w:szCs w:val="24"/>
        </w:rPr>
        <w:t>IRPeQ</w:t>
      </w:r>
      <w:proofErr w:type="spellEnd"/>
      <w:r w:rsidR="00BA748F" w:rsidRPr="00CD5AEC">
        <w:rPr>
          <w:rFonts w:ascii="Times New Roman" w:hAnsi="Times New Roman" w:cs="Times New Roman"/>
          <w:sz w:val="24"/>
          <w:szCs w:val="24"/>
        </w:rPr>
        <w:t xml:space="preserve"> – Santé et environnement [en ligne]. Québec ministère de l’Agriculture, des Pêcheries et de l’Alimentation/minis</w:t>
      </w:r>
      <w:r w:rsidR="00C6164F" w:rsidRPr="00CD5AEC">
        <w:rPr>
          <w:rFonts w:ascii="Times New Roman" w:hAnsi="Times New Roman" w:cs="Times New Roman"/>
          <w:sz w:val="24"/>
          <w:szCs w:val="24"/>
        </w:rPr>
        <w:t xml:space="preserve">tère du Développement durable, </w:t>
      </w:r>
      <w:r w:rsidR="00BA748F" w:rsidRPr="00CD5AEC">
        <w:rPr>
          <w:rFonts w:ascii="Times New Roman" w:hAnsi="Times New Roman" w:cs="Times New Roman"/>
          <w:sz w:val="24"/>
          <w:szCs w:val="24"/>
        </w:rPr>
        <w:t>de l’Environnement et des Parcs/Institut national de santé publique du Québec, 44 p.</w:t>
      </w:r>
    </w:p>
    <w:p w14:paraId="75CFD676" w14:textId="7F0E00F5" w:rsidR="00BA748F" w:rsidRPr="00CD5AEC" w:rsidRDefault="00E73747" w:rsidP="00CD5AEC">
      <w:pPr>
        <w:spacing w:after="120" w:line="240" w:lineRule="auto"/>
        <w:rPr>
          <w:rFonts w:ascii="Times New Roman" w:hAnsi="Times New Roman" w:cs="Times New Roman"/>
          <w:sz w:val="24"/>
          <w:szCs w:val="24"/>
        </w:rPr>
      </w:pPr>
      <w:r w:rsidRPr="00CD5AEC">
        <w:rPr>
          <w:rFonts w:ascii="Times New Roman" w:hAnsi="Times New Roman" w:cs="Times New Roman"/>
          <w:sz w:val="24"/>
          <w:szCs w:val="24"/>
        </w:rPr>
        <w:t xml:space="preserve">SON D., SOMDA I., LEGREVE A. et SCHIFFERS </w:t>
      </w:r>
      <w:r w:rsidR="00BA748F" w:rsidRPr="00CD5AEC">
        <w:rPr>
          <w:rFonts w:ascii="Times New Roman" w:hAnsi="Times New Roman" w:cs="Times New Roman"/>
          <w:sz w:val="24"/>
          <w:szCs w:val="24"/>
        </w:rPr>
        <w:t xml:space="preserve">B., 2017. Pratiques phytosanitaires des producteurs de tomates du Burkina Faso et risques pour la santé et l’environnement. </w:t>
      </w:r>
      <w:proofErr w:type="spellStart"/>
      <w:r w:rsidR="00BA748F" w:rsidRPr="00CD5AEC">
        <w:rPr>
          <w:rFonts w:ascii="Times New Roman" w:hAnsi="Times New Roman" w:cs="Times New Roman"/>
          <w:i/>
          <w:sz w:val="24"/>
          <w:szCs w:val="24"/>
        </w:rPr>
        <w:t>Cah</w:t>
      </w:r>
      <w:proofErr w:type="spellEnd"/>
      <w:r w:rsidR="00BA748F" w:rsidRPr="00CD5AEC">
        <w:rPr>
          <w:rFonts w:ascii="Times New Roman" w:hAnsi="Times New Roman" w:cs="Times New Roman"/>
          <w:i/>
          <w:sz w:val="24"/>
          <w:szCs w:val="24"/>
        </w:rPr>
        <w:t xml:space="preserve">. </w:t>
      </w:r>
      <w:proofErr w:type="spellStart"/>
      <w:r w:rsidR="00BA748F" w:rsidRPr="00CD5AEC">
        <w:rPr>
          <w:rFonts w:ascii="Times New Roman" w:hAnsi="Times New Roman" w:cs="Times New Roman"/>
          <w:i/>
          <w:sz w:val="24"/>
          <w:szCs w:val="24"/>
        </w:rPr>
        <w:t>Agric</w:t>
      </w:r>
      <w:proofErr w:type="spellEnd"/>
      <w:r w:rsidR="00BA748F" w:rsidRPr="00CD5AEC">
        <w:rPr>
          <w:rFonts w:ascii="Times New Roman" w:hAnsi="Times New Roman" w:cs="Times New Roman"/>
          <w:sz w:val="24"/>
          <w:szCs w:val="24"/>
        </w:rPr>
        <w:t>. 2017, 26, 25005.</w:t>
      </w:r>
    </w:p>
    <w:p w14:paraId="41636ECB" w14:textId="1A83F481" w:rsidR="00BA748F" w:rsidRPr="00CD5AEC" w:rsidRDefault="00E73747" w:rsidP="00CD5AEC">
      <w:pPr>
        <w:spacing w:after="120" w:line="240" w:lineRule="auto"/>
        <w:rPr>
          <w:rFonts w:ascii="Times New Roman" w:hAnsi="Times New Roman" w:cs="Times New Roman"/>
          <w:sz w:val="24"/>
          <w:szCs w:val="24"/>
          <w:lang w:val="en-GB"/>
        </w:rPr>
      </w:pPr>
      <w:r w:rsidRPr="00CD5AEC">
        <w:rPr>
          <w:rFonts w:ascii="Times New Roman" w:hAnsi="Times New Roman" w:cs="Times New Roman"/>
          <w:sz w:val="24"/>
          <w:szCs w:val="24"/>
        </w:rPr>
        <w:t xml:space="preserve">SOUGNABE S.P., YANDIA A., ACHELEKE J., BREVAULT T., VAISSAYRE </w:t>
      </w:r>
      <w:r w:rsidR="00BA748F" w:rsidRPr="00CD5AEC">
        <w:rPr>
          <w:rFonts w:ascii="Times New Roman" w:hAnsi="Times New Roman" w:cs="Times New Roman"/>
          <w:sz w:val="24"/>
          <w:szCs w:val="24"/>
        </w:rPr>
        <w:t xml:space="preserve">M. et </w:t>
      </w:r>
      <w:r w:rsidRPr="00CD5AEC">
        <w:rPr>
          <w:rFonts w:ascii="Times New Roman" w:hAnsi="Times New Roman" w:cs="Times New Roman"/>
          <w:sz w:val="24"/>
          <w:szCs w:val="24"/>
        </w:rPr>
        <w:t xml:space="preserve">NGARTOUBAM </w:t>
      </w:r>
      <w:r w:rsidR="00BA748F" w:rsidRPr="00CD5AEC">
        <w:rPr>
          <w:rFonts w:ascii="Times New Roman" w:hAnsi="Times New Roman" w:cs="Times New Roman"/>
          <w:sz w:val="24"/>
          <w:szCs w:val="24"/>
        </w:rPr>
        <w:t xml:space="preserve">L.T., 2009. Pratiques phytosanitaires paysannes dans les savanes d’Afrique Centrale. Actes du colloque « Savanes africaines en développement : innover pour durer », 20-23 avril 2009. </w:t>
      </w:r>
      <w:proofErr w:type="spellStart"/>
      <w:r w:rsidR="00BA748F" w:rsidRPr="00CD5AEC">
        <w:rPr>
          <w:rFonts w:ascii="Times New Roman" w:hAnsi="Times New Roman" w:cs="Times New Roman"/>
          <w:sz w:val="24"/>
          <w:szCs w:val="24"/>
          <w:lang w:val="en-GB"/>
        </w:rPr>
        <w:t>Garoua</w:t>
      </w:r>
      <w:proofErr w:type="spellEnd"/>
      <w:r w:rsidR="00BA748F" w:rsidRPr="00CD5AEC">
        <w:rPr>
          <w:rFonts w:ascii="Times New Roman" w:hAnsi="Times New Roman" w:cs="Times New Roman"/>
          <w:sz w:val="24"/>
          <w:szCs w:val="24"/>
          <w:lang w:val="en-GB"/>
        </w:rPr>
        <w:t xml:space="preserve"> (Cameroun).13p.</w:t>
      </w:r>
    </w:p>
    <w:p w14:paraId="1E9E3A63" w14:textId="44BF2BAF" w:rsidR="00BA748F" w:rsidRPr="00CD5AEC" w:rsidRDefault="00E73747" w:rsidP="00CD5AEC">
      <w:pPr>
        <w:spacing w:after="120" w:line="240" w:lineRule="auto"/>
        <w:rPr>
          <w:rFonts w:ascii="Times New Roman" w:hAnsi="Times New Roman" w:cs="Times New Roman"/>
          <w:sz w:val="24"/>
          <w:szCs w:val="24"/>
          <w:lang w:val="en-US"/>
        </w:rPr>
      </w:pPr>
      <w:r w:rsidRPr="00CD5AEC">
        <w:rPr>
          <w:rFonts w:ascii="Times New Roman" w:hAnsi="Times New Roman" w:cs="Times New Roman"/>
          <w:sz w:val="24"/>
          <w:szCs w:val="24"/>
          <w:lang w:val="en-US"/>
        </w:rPr>
        <w:t xml:space="preserve">TREVISAN M., DI GUARDO </w:t>
      </w:r>
      <w:r w:rsidR="00BA748F" w:rsidRPr="00CD5AEC">
        <w:rPr>
          <w:rFonts w:ascii="Times New Roman" w:hAnsi="Times New Roman" w:cs="Times New Roman"/>
          <w:sz w:val="24"/>
          <w:szCs w:val="24"/>
          <w:lang w:val="en-US"/>
        </w:rPr>
        <w:t xml:space="preserve">A. et </w:t>
      </w:r>
      <w:r w:rsidRPr="00CD5AEC">
        <w:rPr>
          <w:rFonts w:ascii="Times New Roman" w:hAnsi="Times New Roman" w:cs="Times New Roman"/>
          <w:sz w:val="24"/>
          <w:szCs w:val="24"/>
          <w:lang w:val="en-US"/>
        </w:rPr>
        <w:t xml:space="preserve">BALDER ACCHI </w:t>
      </w:r>
      <w:r w:rsidR="00BA748F" w:rsidRPr="00CD5AEC">
        <w:rPr>
          <w:rFonts w:ascii="Times New Roman" w:hAnsi="Times New Roman" w:cs="Times New Roman"/>
          <w:sz w:val="24"/>
          <w:szCs w:val="24"/>
          <w:lang w:val="en-US"/>
        </w:rPr>
        <w:t xml:space="preserve">M., 2009. An environmental indicator to drive sustainable pest management practices. </w:t>
      </w:r>
      <w:r w:rsidR="00BA748F" w:rsidRPr="00CD5AEC">
        <w:rPr>
          <w:rFonts w:ascii="Times New Roman" w:hAnsi="Times New Roman" w:cs="Times New Roman"/>
          <w:i/>
          <w:sz w:val="24"/>
          <w:szCs w:val="24"/>
          <w:lang w:val="en-US"/>
        </w:rPr>
        <w:t>Environmental Modelling and Software</w:t>
      </w:r>
      <w:r w:rsidRPr="00CD5AEC">
        <w:rPr>
          <w:rFonts w:ascii="Times New Roman" w:hAnsi="Times New Roman" w:cs="Times New Roman"/>
          <w:sz w:val="24"/>
          <w:szCs w:val="24"/>
          <w:lang w:val="en-US"/>
        </w:rPr>
        <w:t xml:space="preserve"> (24)</w:t>
      </w:r>
      <w:r w:rsidR="00BA748F" w:rsidRPr="00CD5AEC">
        <w:rPr>
          <w:rFonts w:ascii="Times New Roman" w:hAnsi="Times New Roman" w:cs="Times New Roman"/>
          <w:sz w:val="24"/>
          <w:szCs w:val="24"/>
          <w:lang w:val="en-US"/>
        </w:rPr>
        <w:t xml:space="preserve"> 994-1002.</w:t>
      </w:r>
    </w:p>
    <w:p w14:paraId="4568C1EB" w14:textId="69C7C717" w:rsidR="00CF5230" w:rsidRPr="00CD5AEC" w:rsidRDefault="00701712" w:rsidP="00CD5AEC">
      <w:pPr>
        <w:spacing w:after="120" w:line="240" w:lineRule="auto"/>
        <w:rPr>
          <w:rFonts w:ascii="Times New Roman" w:hAnsi="Times New Roman" w:cs="Times New Roman"/>
          <w:sz w:val="24"/>
          <w:szCs w:val="24"/>
          <w:lang w:val="en-US"/>
        </w:rPr>
      </w:pPr>
      <w:r w:rsidRPr="00CD5AEC">
        <w:rPr>
          <w:rFonts w:ascii="Times New Roman" w:hAnsi="Times New Roman" w:cs="Times New Roman"/>
          <w:sz w:val="24"/>
          <w:szCs w:val="24"/>
          <w:lang w:val="en-US"/>
        </w:rPr>
        <w:t>US-EPA., 2009. The ECOTOX (</w:t>
      </w:r>
      <w:proofErr w:type="spellStart"/>
      <w:r w:rsidRPr="00CD5AEC">
        <w:rPr>
          <w:rFonts w:ascii="Times New Roman" w:hAnsi="Times New Roman" w:cs="Times New Roman"/>
          <w:sz w:val="24"/>
          <w:szCs w:val="24"/>
          <w:lang w:val="en-US"/>
        </w:rPr>
        <w:t>ECOTOXicology</w:t>
      </w:r>
      <w:proofErr w:type="spellEnd"/>
      <w:r w:rsidRPr="00CD5AEC">
        <w:rPr>
          <w:rFonts w:ascii="Times New Roman" w:hAnsi="Times New Roman" w:cs="Times New Roman"/>
          <w:sz w:val="24"/>
          <w:szCs w:val="24"/>
          <w:lang w:val="en-US"/>
        </w:rPr>
        <w:t xml:space="preserve">) database provides single chemical toxicity information for aquatic and terrestrial life. Retrieved June, 2009, from </w:t>
      </w:r>
      <w:hyperlink r:id="rId14" w:history="1">
        <w:r w:rsidRPr="00CD5AEC">
          <w:rPr>
            <w:rStyle w:val="Lienhypertexte"/>
            <w:rFonts w:ascii="Times New Roman" w:hAnsi="Times New Roman" w:cs="Times New Roman"/>
            <w:sz w:val="24"/>
            <w:szCs w:val="24"/>
            <w:lang w:val="en-US"/>
          </w:rPr>
          <w:t>http://cfpub.epa.gov/ecotox/</w:t>
        </w:r>
      </w:hyperlink>
      <w:r w:rsidRPr="00CD5AEC">
        <w:rPr>
          <w:rFonts w:ascii="Times New Roman" w:hAnsi="Times New Roman" w:cs="Times New Roman"/>
          <w:sz w:val="24"/>
          <w:szCs w:val="24"/>
          <w:lang w:val="en-US"/>
        </w:rPr>
        <w:t>.</w:t>
      </w:r>
    </w:p>
    <w:p w14:paraId="598BCA03" w14:textId="6760EFBC" w:rsidR="00B75C6A" w:rsidRPr="00B4310F" w:rsidRDefault="00B75C6A" w:rsidP="00CD5AEC">
      <w:pPr>
        <w:spacing w:after="120" w:line="240" w:lineRule="auto"/>
        <w:rPr>
          <w:rFonts w:ascii="Times New Roman" w:hAnsi="Times New Roman" w:cs="Times New Roman"/>
          <w:sz w:val="24"/>
          <w:szCs w:val="24"/>
        </w:rPr>
      </w:pPr>
      <w:r w:rsidRPr="00CD5AEC">
        <w:rPr>
          <w:rFonts w:ascii="Times New Roman" w:hAnsi="Times New Roman" w:cs="Times New Roman"/>
          <w:sz w:val="24"/>
          <w:szCs w:val="24"/>
          <w:lang w:val="en-US"/>
        </w:rPr>
        <w:t xml:space="preserve">WALKLEY A., BLACK C. A., 1934. An examination of the </w:t>
      </w:r>
      <w:proofErr w:type="spellStart"/>
      <w:r w:rsidRPr="00CD5AEC">
        <w:rPr>
          <w:rFonts w:ascii="Times New Roman" w:hAnsi="Times New Roman" w:cs="Times New Roman"/>
          <w:sz w:val="24"/>
          <w:szCs w:val="24"/>
          <w:lang w:val="en-US"/>
        </w:rPr>
        <w:t>Degtjareff</w:t>
      </w:r>
      <w:proofErr w:type="spellEnd"/>
      <w:r w:rsidRPr="00CD5AEC">
        <w:rPr>
          <w:rFonts w:ascii="Times New Roman" w:hAnsi="Times New Roman" w:cs="Times New Roman"/>
          <w:sz w:val="24"/>
          <w:szCs w:val="24"/>
          <w:lang w:val="en-US"/>
        </w:rPr>
        <w:t xml:space="preserve"> method for determining soil organic matter, and a proposed modification of the chromic acid titration method. </w:t>
      </w:r>
      <w:proofErr w:type="spellStart"/>
      <w:r w:rsidRPr="00CD5AEC">
        <w:rPr>
          <w:rFonts w:ascii="Times New Roman" w:hAnsi="Times New Roman" w:cs="Times New Roman"/>
          <w:i/>
          <w:sz w:val="24"/>
          <w:szCs w:val="24"/>
        </w:rPr>
        <w:t>Soil</w:t>
      </w:r>
      <w:proofErr w:type="spellEnd"/>
      <w:r w:rsidRPr="00CD5AEC">
        <w:rPr>
          <w:rFonts w:ascii="Times New Roman" w:hAnsi="Times New Roman" w:cs="Times New Roman"/>
          <w:i/>
          <w:sz w:val="24"/>
          <w:szCs w:val="24"/>
        </w:rPr>
        <w:t xml:space="preserve"> </w:t>
      </w:r>
      <w:proofErr w:type="spellStart"/>
      <w:r w:rsidRPr="00CD5AEC">
        <w:rPr>
          <w:rFonts w:ascii="Times New Roman" w:hAnsi="Times New Roman" w:cs="Times New Roman"/>
          <w:i/>
          <w:sz w:val="24"/>
          <w:szCs w:val="24"/>
        </w:rPr>
        <w:t>Sci</w:t>
      </w:r>
      <w:proofErr w:type="spellEnd"/>
      <w:r w:rsidRPr="00CD5AEC">
        <w:rPr>
          <w:rFonts w:ascii="Times New Roman" w:hAnsi="Times New Roman" w:cs="Times New Roman"/>
          <w:i/>
          <w:sz w:val="24"/>
          <w:szCs w:val="24"/>
        </w:rPr>
        <w:t>.</w:t>
      </w:r>
      <w:r w:rsidRPr="00CD5AEC">
        <w:rPr>
          <w:rFonts w:ascii="Times New Roman" w:hAnsi="Times New Roman" w:cs="Times New Roman"/>
          <w:sz w:val="24"/>
          <w:szCs w:val="24"/>
        </w:rPr>
        <w:t xml:space="preserve"> </w:t>
      </w:r>
      <w:proofErr w:type="gramStart"/>
      <w:r w:rsidRPr="00CD5AEC">
        <w:rPr>
          <w:rFonts w:ascii="Times New Roman" w:hAnsi="Times New Roman" w:cs="Times New Roman"/>
          <w:sz w:val="24"/>
          <w:szCs w:val="24"/>
        </w:rPr>
        <w:t>37:</w:t>
      </w:r>
      <w:proofErr w:type="gramEnd"/>
      <w:r w:rsidRPr="00CD5AEC">
        <w:rPr>
          <w:rFonts w:ascii="Times New Roman" w:hAnsi="Times New Roman" w:cs="Times New Roman"/>
          <w:sz w:val="24"/>
          <w:szCs w:val="24"/>
        </w:rPr>
        <w:t xml:space="preserve"> 29</w:t>
      </w:r>
      <w:r w:rsidRPr="007B3BD9">
        <w:rPr>
          <w:rFonts w:ascii="Times New Roman" w:hAnsi="Times New Roman" w:cs="Times New Roman"/>
          <w:sz w:val="24"/>
          <w:szCs w:val="24"/>
        </w:rPr>
        <w:t>-39.</w:t>
      </w:r>
    </w:p>
    <w:p w14:paraId="10FC449F" w14:textId="0F3335F9" w:rsidR="00B75C6A" w:rsidRDefault="00B75C6A" w:rsidP="00EB7D2E">
      <w:pPr>
        <w:spacing w:line="240" w:lineRule="auto"/>
        <w:ind w:left="709" w:hanging="709"/>
        <w:rPr>
          <w:rFonts w:ascii="Times New Roman" w:hAnsi="Times New Roman" w:cs="Times New Roman"/>
          <w:sz w:val="24"/>
          <w:szCs w:val="24"/>
        </w:rPr>
      </w:pPr>
    </w:p>
    <w:p w14:paraId="3AAA3AAB" w14:textId="645A1A09" w:rsidR="0078514F" w:rsidRDefault="0078514F" w:rsidP="00EB7D2E">
      <w:pPr>
        <w:spacing w:line="240" w:lineRule="auto"/>
        <w:ind w:left="709" w:hanging="709"/>
        <w:rPr>
          <w:rFonts w:ascii="Times New Roman" w:hAnsi="Times New Roman" w:cs="Times New Roman"/>
          <w:sz w:val="24"/>
          <w:szCs w:val="24"/>
        </w:rPr>
      </w:pPr>
    </w:p>
    <w:p w14:paraId="6FA5B6B7" w14:textId="77777777" w:rsidR="0078514F" w:rsidRPr="00111172" w:rsidRDefault="0078514F" w:rsidP="00EB7D2E">
      <w:pPr>
        <w:spacing w:line="240" w:lineRule="auto"/>
        <w:ind w:left="709" w:hanging="709"/>
        <w:rPr>
          <w:rFonts w:ascii="Times New Roman" w:hAnsi="Times New Roman" w:cs="Times New Roman"/>
          <w:sz w:val="24"/>
          <w:szCs w:val="24"/>
        </w:rPr>
      </w:pPr>
    </w:p>
    <w:p w14:paraId="4DA347DE" w14:textId="77777777" w:rsidR="00685F73" w:rsidRPr="00685F73" w:rsidRDefault="00685F73" w:rsidP="00685F73">
      <w:pPr>
        <w:spacing w:after="120" w:line="240" w:lineRule="auto"/>
        <w:rPr>
          <w:rFonts w:ascii="Times New Roman" w:hAnsi="Times New Roman" w:cs="Times New Roman"/>
          <w:b/>
          <w:i/>
        </w:rPr>
      </w:pPr>
      <w:r w:rsidRPr="00685F73">
        <w:rPr>
          <w:rFonts w:ascii="Times New Roman" w:hAnsi="Times New Roman" w:cs="Times New Roman"/>
          <w:b/>
          <w:i/>
        </w:rPr>
        <w:t>Remerciements</w:t>
      </w:r>
    </w:p>
    <w:p w14:paraId="0C08E332" w14:textId="77777777" w:rsidR="00685F73" w:rsidRPr="00685F73" w:rsidRDefault="00685F73" w:rsidP="00685F73">
      <w:pPr>
        <w:spacing w:line="240" w:lineRule="auto"/>
        <w:rPr>
          <w:rFonts w:ascii="Times New Roman" w:hAnsi="Times New Roman" w:cs="Times New Roman"/>
        </w:rPr>
      </w:pPr>
      <w:r w:rsidRPr="00685F73">
        <w:rPr>
          <w:rFonts w:ascii="Times New Roman" w:hAnsi="Times New Roman" w:cs="Times New Roman"/>
        </w:rPr>
        <w:t xml:space="preserve">Cette recherche a été financée par l'Académie de Recherche et d'Enseignement Supérieur (ARES-CCD - Belgique) à travers le projet </w:t>
      </w:r>
      <w:r w:rsidRPr="00685F73">
        <w:rPr>
          <w:rFonts w:ascii="Times New Roman" w:hAnsi="Times New Roman" w:cs="Times New Roman"/>
          <w:b/>
          <w:bCs/>
        </w:rPr>
        <w:t>PARADE</w:t>
      </w:r>
      <w:r w:rsidRPr="00685F73">
        <w:rPr>
          <w:rFonts w:ascii="Times New Roman" w:hAnsi="Times New Roman" w:cs="Times New Roman"/>
        </w:rPr>
        <w:t xml:space="preserve"> (Renforcement de la Résilience des Systèmes Productifs Maraîchers par la Recherche-Développement et l'Education Participatives à l’Application de Principes Agro-Écologiques au Burkina Faso). Les auteurs tiennent à remercier les Professeurs Charles BIELDERS et </w:t>
      </w:r>
      <w:proofErr w:type="spellStart"/>
      <w:r w:rsidRPr="00685F73">
        <w:rPr>
          <w:rFonts w:ascii="Times New Roman" w:hAnsi="Times New Roman" w:cs="Times New Roman"/>
        </w:rPr>
        <w:t>Marnik</w:t>
      </w:r>
      <w:proofErr w:type="spellEnd"/>
      <w:r w:rsidRPr="00685F73">
        <w:rPr>
          <w:rFonts w:ascii="Times New Roman" w:hAnsi="Times New Roman" w:cs="Times New Roman"/>
        </w:rPr>
        <w:t xml:space="preserve"> VANCLOOSTER (</w:t>
      </w:r>
      <w:proofErr w:type="spellStart"/>
      <w:r w:rsidRPr="00685F73">
        <w:rPr>
          <w:rFonts w:ascii="Times New Roman" w:hAnsi="Times New Roman" w:cs="Times New Roman"/>
        </w:rPr>
        <w:t>UCLouvain</w:t>
      </w:r>
      <w:proofErr w:type="spellEnd"/>
      <w:r w:rsidRPr="00685F73">
        <w:rPr>
          <w:rFonts w:ascii="Times New Roman" w:hAnsi="Times New Roman" w:cs="Times New Roman"/>
        </w:rPr>
        <w:t>) pour leurs orientations scientifiques et pour avoir mis à leur disposition le logiciel EPRIP. Ils remercient également Mr. SAVADOGO Idrissa (CNRST/ IRSAT) pour le soutien technique.</w:t>
      </w:r>
    </w:p>
    <w:sectPr w:rsidR="00685F73" w:rsidRPr="00685F73" w:rsidSect="000754CE">
      <w:footerReference w:type="default" r:id="rId15"/>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412B95" w16cid:durableId="23418350"/>
  <w16cid:commentId w16cid:paraId="0F8D4D1E" w16cid:durableId="2341838E"/>
  <w16cid:commentId w16cid:paraId="0DB2691E" w16cid:durableId="23409232"/>
  <w16cid:commentId w16cid:paraId="6790BFD4" w16cid:durableId="234092A3"/>
  <w16cid:commentId w16cid:paraId="2BA22A54" w16cid:durableId="234096BC"/>
  <w16cid:commentId w16cid:paraId="4643B7DA" w16cid:durableId="234183E6"/>
  <w16cid:commentId w16cid:paraId="473B1467" w16cid:durableId="23418420"/>
  <w16cid:commentId w16cid:paraId="43E978DF" w16cid:durableId="23418488"/>
  <w16cid:commentId w16cid:paraId="107DE431" w16cid:durableId="234184A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163F5" w14:textId="77777777" w:rsidR="00700033" w:rsidRDefault="00700033" w:rsidP="009204E1">
      <w:pPr>
        <w:spacing w:line="240" w:lineRule="auto"/>
      </w:pPr>
      <w:r>
        <w:separator/>
      </w:r>
    </w:p>
  </w:endnote>
  <w:endnote w:type="continuationSeparator" w:id="0">
    <w:p w14:paraId="2B1489E3" w14:textId="77777777" w:rsidR="00700033" w:rsidRDefault="00700033" w:rsidP="009204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1930417047"/>
      <w:docPartObj>
        <w:docPartGallery w:val="Page Numbers (Bottom of Page)"/>
        <w:docPartUnique/>
      </w:docPartObj>
    </w:sdtPr>
    <w:sdtEndPr/>
    <w:sdtContent>
      <w:p w14:paraId="19CD0CCA" w14:textId="726C40FC" w:rsidR="00703601" w:rsidRPr="009204E1" w:rsidRDefault="00703601">
        <w:pPr>
          <w:pStyle w:val="Pieddepage"/>
          <w:jc w:val="right"/>
          <w:rPr>
            <w:rFonts w:ascii="Times New Roman" w:hAnsi="Times New Roman" w:cs="Times New Roman"/>
            <w:sz w:val="24"/>
          </w:rPr>
        </w:pPr>
        <w:r w:rsidRPr="009204E1">
          <w:rPr>
            <w:rFonts w:ascii="Times New Roman" w:hAnsi="Times New Roman" w:cs="Times New Roman"/>
            <w:sz w:val="24"/>
          </w:rPr>
          <w:fldChar w:fldCharType="begin"/>
        </w:r>
        <w:r w:rsidRPr="009204E1">
          <w:rPr>
            <w:rFonts w:ascii="Times New Roman" w:hAnsi="Times New Roman" w:cs="Times New Roman"/>
            <w:sz w:val="24"/>
          </w:rPr>
          <w:instrText>PAGE   \* MERGEFORMAT</w:instrText>
        </w:r>
        <w:r w:rsidRPr="009204E1">
          <w:rPr>
            <w:rFonts w:ascii="Times New Roman" w:hAnsi="Times New Roman" w:cs="Times New Roman"/>
            <w:sz w:val="24"/>
          </w:rPr>
          <w:fldChar w:fldCharType="separate"/>
        </w:r>
        <w:r w:rsidR="003F65BB">
          <w:rPr>
            <w:rFonts w:ascii="Times New Roman" w:hAnsi="Times New Roman" w:cs="Times New Roman"/>
            <w:noProof/>
            <w:sz w:val="24"/>
          </w:rPr>
          <w:t>11</w:t>
        </w:r>
        <w:r w:rsidRPr="009204E1">
          <w:rPr>
            <w:rFonts w:ascii="Times New Roman" w:hAnsi="Times New Roman" w:cs="Times New Roman"/>
            <w:sz w:val="24"/>
          </w:rPr>
          <w:fldChar w:fldCharType="end"/>
        </w:r>
      </w:p>
    </w:sdtContent>
  </w:sdt>
  <w:p w14:paraId="6A706E68" w14:textId="77777777" w:rsidR="00703601" w:rsidRDefault="0070360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03628" w14:textId="77777777" w:rsidR="00700033" w:rsidRDefault="00700033" w:rsidP="009204E1">
      <w:pPr>
        <w:spacing w:line="240" w:lineRule="auto"/>
      </w:pPr>
      <w:r>
        <w:separator/>
      </w:r>
    </w:p>
  </w:footnote>
  <w:footnote w:type="continuationSeparator" w:id="0">
    <w:p w14:paraId="072CACDD" w14:textId="77777777" w:rsidR="00700033" w:rsidRDefault="00700033" w:rsidP="009204E1">
      <w:pPr>
        <w:spacing w:line="240" w:lineRule="auto"/>
      </w:pPr>
      <w:r>
        <w:continuationSeparator/>
      </w:r>
    </w:p>
  </w:footnote>
  <w:footnote w:id="1">
    <w:p w14:paraId="464C8222" w14:textId="37D43FBD" w:rsidR="0002689F" w:rsidRDefault="0002689F">
      <w:pPr>
        <w:pStyle w:val="Notedebasdepage"/>
        <w:rPr>
          <w:rFonts w:ascii="Times New Roman" w:hAnsi="Times New Roman" w:cs="Times New Roman"/>
        </w:rPr>
      </w:pPr>
      <w:r>
        <w:rPr>
          <w:rStyle w:val="Appelnotedebasdep"/>
        </w:rPr>
        <w:footnoteRef/>
      </w:r>
      <w:r>
        <w:t xml:space="preserve"> </w:t>
      </w:r>
      <w:r w:rsidRPr="0002689F">
        <w:rPr>
          <w:rFonts w:ascii="Times New Roman" w:hAnsi="Times New Roman" w:cs="Times New Roman"/>
        </w:rPr>
        <w:t>Centre National de Recherche Scientifique et Technologique / Institut de Recherche en Sciences Appliquées et Technologiques, 03 BP 7047 Ouagadougou 03 Burkina Faso</w:t>
      </w:r>
    </w:p>
    <w:p w14:paraId="649E126B" w14:textId="15550902" w:rsidR="0002689F" w:rsidRDefault="0002689F">
      <w:pPr>
        <w:pStyle w:val="Notedebasdepage"/>
      </w:pPr>
      <w:r w:rsidRPr="0002689F">
        <w:rPr>
          <w:rFonts w:ascii="Times New Roman" w:hAnsi="Times New Roman" w:cs="Times New Roman"/>
          <w:lang w:val="fr-BE"/>
        </w:rPr>
        <w:t xml:space="preserve">*Auteur de correspondant : Email : </w:t>
      </w:r>
      <w:hyperlink r:id="rId1" w:history="1">
        <w:r w:rsidRPr="0002689F">
          <w:rPr>
            <w:rStyle w:val="Lienhypertexte"/>
            <w:rFonts w:ascii="Times New Roman" w:hAnsi="Times New Roman" w:cs="Times New Roman"/>
            <w:lang w:val="fr-BE"/>
          </w:rPr>
          <w:t>delaoued@hotmail.fr</w:t>
        </w:r>
      </w:hyperlink>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81D07"/>
    <w:multiLevelType w:val="multilevel"/>
    <w:tmpl w:val="F27C3D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E0D1374"/>
    <w:multiLevelType w:val="multilevel"/>
    <w:tmpl w:val="E1D085BE"/>
    <w:lvl w:ilvl="0">
      <w:start w:val="3"/>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E5F57F6"/>
    <w:multiLevelType w:val="hybridMultilevel"/>
    <w:tmpl w:val="63A4FD06"/>
    <w:lvl w:ilvl="0" w:tplc="3F6CA5E8">
      <w:start w:val="2013"/>
      <w:numFmt w:val="bullet"/>
      <w:lvlText w:val="-"/>
      <w:lvlJc w:val="left"/>
      <w:pPr>
        <w:ind w:left="1068" w:hanging="360"/>
      </w:pPr>
      <w:rPr>
        <w:rFonts w:ascii="Times New Roman" w:eastAsiaTheme="minorHAnsi"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2ADF5C36"/>
    <w:multiLevelType w:val="multilevel"/>
    <w:tmpl w:val="F27C3D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40E3EC2"/>
    <w:multiLevelType w:val="hybridMultilevel"/>
    <w:tmpl w:val="551A40B8"/>
    <w:lvl w:ilvl="0" w:tplc="C380A04E">
      <w:start w:val="6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43178F5"/>
    <w:multiLevelType w:val="multilevel"/>
    <w:tmpl w:val="4DCC06E8"/>
    <w:lvl w:ilvl="0">
      <w:start w:val="2"/>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6B7F242E"/>
    <w:multiLevelType w:val="hybridMultilevel"/>
    <w:tmpl w:val="69EE5C80"/>
    <w:lvl w:ilvl="0" w:tplc="3F6CA5E8">
      <w:start w:val="201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0"/>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934"/>
    <w:rsid w:val="00000E8F"/>
    <w:rsid w:val="00001B55"/>
    <w:rsid w:val="00003ED4"/>
    <w:rsid w:val="00012A4A"/>
    <w:rsid w:val="00015242"/>
    <w:rsid w:val="000243EE"/>
    <w:rsid w:val="00026846"/>
    <w:rsid w:val="0002689F"/>
    <w:rsid w:val="00031AD5"/>
    <w:rsid w:val="00035089"/>
    <w:rsid w:val="00041D20"/>
    <w:rsid w:val="00044531"/>
    <w:rsid w:val="00047C1B"/>
    <w:rsid w:val="000547B9"/>
    <w:rsid w:val="000567E2"/>
    <w:rsid w:val="00064084"/>
    <w:rsid w:val="00071D00"/>
    <w:rsid w:val="0007228D"/>
    <w:rsid w:val="000748FE"/>
    <w:rsid w:val="00075390"/>
    <w:rsid w:val="000754CE"/>
    <w:rsid w:val="00094574"/>
    <w:rsid w:val="0009595A"/>
    <w:rsid w:val="00095ABE"/>
    <w:rsid w:val="00095B3D"/>
    <w:rsid w:val="00096A8C"/>
    <w:rsid w:val="000A1BC7"/>
    <w:rsid w:val="000A59E3"/>
    <w:rsid w:val="000A5B5C"/>
    <w:rsid w:val="000B2D26"/>
    <w:rsid w:val="000B5268"/>
    <w:rsid w:val="000B7595"/>
    <w:rsid w:val="000B7937"/>
    <w:rsid w:val="000C1438"/>
    <w:rsid w:val="000C424E"/>
    <w:rsid w:val="000C637A"/>
    <w:rsid w:val="000C76E0"/>
    <w:rsid w:val="000D1B4D"/>
    <w:rsid w:val="000D5F93"/>
    <w:rsid w:val="000E379B"/>
    <w:rsid w:val="000E3A33"/>
    <w:rsid w:val="000E60ED"/>
    <w:rsid w:val="000E6B4A"/>
    <w:rsid w:val="00102EE5"/>
    <w:rsid w:val="00111172"/>
    <w:rsid w:val="00113608"/>
    <w:rsid w:val="00113C14"/>
    <w:rsid w:val="00121148"/>
    <w:rsid w:val="00121336"/>
    <w:rsid w:val="00132D65"/>
    <w:rsid w:val="001338BB"/>
    <w:rsid w:val="00141822"/>
    <w:rsid w:val="00145599"/>
    <w:rsid w:val="0014677B"/>
    <w:rsid w:val="001539CC"/>
    <w:rsid w:val="00154BBF"/>
    <w:rsid w:val="00172664"/>
    <w:rsid w:val="0018082E"/>
    <w:rsid w:val="00184FB9"/>
    <w:rsid w:val="0018699E"/>
    <w:rsid w:val="00191830"/>
    <w:rsid w:val="00195EC3"/>
    <w:rsid w:val="001A0BA8"/>
    <w:rsid w:val="001B03DA"/>
    <w:rsid w:val="001C21C5"/>
    <w:rsid w:val="001C31C6"/>
    <w:rsid w:val="001D7056"/>
    <w:rsid w:val="001E4481"/>
    <w:rsid w:val="001E5AE0"/>
    <w:rsid w:val="001E6922"/>
    <w:rsid w:val="001E6ED0"/>
    <w:rsid w:val="001E7918"/>
    <w:rsid w:val="001F02FE"/>
    <w:rsid w:val="001F057D"/>
    <w:rsid w:val="001F6262"/>
    <w:rsid w:val="001F660A"/>
    <w:rsid w:val="00201576"/>
    <w:rsid w:val="002071E4"/>
    <w:rsid w:val="002157CC"/>
    <w:rsid w:val="00215C11"/>
    <w:rsid w:val="002225F1"/>
    <w:rsid w:val="002301DB"/>
    <w:rsid w:val="002364FC"/>
    <w:rsid w:val="00236D0D"/>
    <w:rsid w:val="00236E66"/>
    <w:rsid w:val="00244AF9"/>
    <w:rsid w:val="00246776"/>
    <w:rsid w:val="0025677A"/>
    <w:rsid w:val="0025680C"/>
    <w:rsid w:val="00265B3C"/>
    <w:rsid w:val="00270455"/>
    <w:rsid w:val="00273F9D"/>
    <w:rsid w:val="0027422C"/>
    <w:rsid w:val="002752DE"/>
    <w:rsid w:val="002761CF"/>
    <w:rsid w:val="00280315"/>
    <w:rsid w:val="00285870"/>
    <w:rsid w:val="00290215"/>
    <w:rsid w:val="00294FB6"/>
    <w:rsid w:val="00295FCB"/>
    <w:rsid w:val="002B0A31"/>
    <w:rsid w:val="002B2B43"/>
    <w:rsid w:val="002C0074"/>
    <w:rsid w:val="002C03F9"/>
    <w:rsid w:val="002C7195"/>
    <w:rsid w:val="002D16D0"/>
    <w:rsid w:val="002D3C1B"/>
    <w:rsid w:val="002E572C"/>
    <w:rsid w:val="002F06B4"/>
    <w:rsid w:val="002F17BA"/>
    <w:rsid w:val="002F6242"/>
    <w:rsid w:val="00300271"/>
    <w:rsid w:val="00305C16"/>
    <w:rsid w:val="00305E37"/>
    <w:rsid w:val="00306DAE"/>
    <w:rsid w:val="00311EF8"/>
    <w:rsid w:val="003134DC"/>
    <w:rsid w:val="00313DE9"/>
    <w:rsid w:val="00314031"/>
    <w:rsid w:val="00320B10"/>
    <w:rsid w:val="00321C22"/>
    <w:rsid w:val="00322D30"/>
    <w:rsid w:val="00330A10"/>
    <w:rsid w:val="00335BA7"/>
    <w:rsid w:val="00342B8D"/>
    <w:rsid w:val="00342FA5"/>
    <w:rsid w:val="0034480A"/>
    <w:rsid w:val="003541D0"/>
    <w:rsid w:val="00364D0B"/>
    <w:rsid w:val="00365060"/>
    <w:rsid w:val="003710DF"/>
    <w:rsid w:val="00376399"/>
    <w:rsid w:val="00386816"/>
    <w:rsid w:val="00386A0C"/>
    <w:rsid w:val="0039080C"/>
    <w:rsid w:val="003962B8"/>
    <w:rsid w:val="0039635E"/>
    <w:rsid w:val="003A396C"/>
    <w:rsid w:val="003B092E"/>
    <w:rsid w:val="003B5BD8"/>
    <w:rsid w:val="003C1E1A"/>
    <w:rsid w:val="003C323F"/>
    <w:rsid w:val="003C424C"/>
    <w:rsid w:val="003D571C"/>
    <w:rsid w:val="003D779F"/>
    <w:rsid w:val="003E0FDF"/>
    <w:rsid w:val="003E300C"/>
    <w:rsid w:val="003F19AC"/>
    <w:rsid w:val="003F61D3"/>
    <w:rsid w:val="003F65BB"/>
    <w:rsid w:val="00407F3B"/>
    <w:rsid w:val="004128DE"/>
    <w:rsid w:val="0041331A"/>
    <w:rsid w:val="00413529"/>
    <w:rsid w:val="004229FA"/>
    <w:rsid w:val="00425203"/>
    <w:rsid w:val="0043195B"/>
    <w:rsid w:val="00443B95"/>
    <w:rsid w:val="00460E3A"/>
    <w:rsid w:val="00477F88"/>
    <w:rsid w:val="0048649E"/>
    <w:rsid w:val="004868D2"/>
    <w:rsid w:val="004928BF"/>
    <w:rsid w:val="004952D6"/>
    <w:rsid w:val="004969A9"/>
    <w:rsid w:val="00496EA3"/>
    <w:rsid w:val="004C4CA0"/>
    <w:rsid w:val="004D190B"/>
    <w:rsid w:val="004D5289"/>
    <w:rsid w:val="004F7C91"/>
    <w:rsid w:val="00502720"/>
    <w:rsid w:val="0050651B"/>
    <w:rsid w:val="00507A31"/>
    <w:rsid w:val="00510597"/>
    <w:rsid w:val="00514753"/>
    <w:rsid w:val="00520AA7"/>
    <w:rsid w:val="00522643"/>
    <w:rsid w:val="00522CF8"/>
    <w:rsid w:val="00524DD5"/>
    <w:rsid w:val="00527AE8"/>
    <w:rsid w:val="005303A3"/>
    <w:rsid w:val="00541318"/>
    <w:rsid w:val="005418B6"/>
    <w:rsid w:val="00551EB3"/>
    <w:rsid w:val="005545C1"/>
    <w:rsid w:val="00572A98"/>
    <w:rsid w:val="0058187A"/>
    <w:rsid w:val="00584ABA"/>
    <w:rsid w:val="00597F7E"/>
    <w:rsid w:val="005A0552"/>
    <w:rsid w:val="005A423C"/>
    <w:rsid w:val="005B46CB"/>
    <w:rsid w:val="005B5ADD"/>
    <w:rsid w:val="005B5F50"/>
    <w:rsid w:val="005B6C6B"/>
    <w:rsid w:val="005B7451"/>
    <w:rsid w:val="005C5277"/>
    <w:rsid w:val="005C6934"/>
    <w:rsid w:val="005C7F43"/>
    <w:rsid w:val="005D2063"/>
    <w:rsid w:val="005D6B80"/>
    <w:rsid w:val="005E0338"/>
    <w:rsid w:val="005E1BCF"/>
    <w:rsid w:val="005E36A9"/>
    <w:rsid w:val="005F4596"/>
    <w:rsid w:val="006007D6"/>
    <w:rsid w:val="006011FC"/>
    <w:rsid w:val="006039D3"/>
    <w:rsid w:val="00605221"/>
    <w:rsid w:val="00611DDA"/>
    <w:rsid w:val="00613A75"/>
    <w:rsid w:val="006147A3"/>
    <w:rsid w:val="006230BF"/>
    <w:rsid w:val="00627E84"/>
    <w:rsid w:val="00631DCB"/>
    <w:rsid w:val="00631EEE"/>
    <w:rsid w:val="006334C0"/>
    <w:rsid w:val="00635697"/>
    <w:rsid w:val="0063788B"/>
    <w:rsid w:val="00637E4E"/>
    <w:rsid w:val="00645F2B"/>
    <w:rsid w:val="006546F0"/>
    <w:rsid w:val="00660E3A"/>
    <w:rsid w:val="006667A5"/>
    <w:rsid w:val="00667468"/>
    <w:rsid w:val="00672A25"/>
    <w:rsid w:val="00675207"/>
    <w:rsid w:val="00682ECA"/>
    <w:rsid w:val="00683D80"/>
    <w:rsid w:val="006858D8"/>
    <w:rsid w:val="00685F73"/>
    <w:rsid w:val="00692426"/>
    <w:rsid w:val="00694A17"/>
    <w:rsid w:val="0069549E"/>
    <w:rsid w:val="00697CB5"/>
    <w:rsid w:val="006A7FC1"/>
    <w:rsid w:val="006B434C"/>
    <w:rsid w:val="006B4848"/>
    <w:rsid w:val="006B70E9"/>
    <w:rsid w:val="006C7639"/>
    <w:rsid w:val="006D4661"/>
    <w:rsid w:val="006D4B96"/>
    <w:rsid w:val="006D7AB1"/>
    <w:rsid w:val="006E703D"/>
    <w:rsid w:val="006E7B5C"/>
    <w:rsid w:val="006F3071"/>
    <w:rsid w:val="006F6EE6"/>
    <w:rsid w:val="00700033"/>
    <w:rsid w:val="0070047B"/>
    <w:rsid w:val="00701712"/>
    <w:rsid w:val="00703601"/>
    <w:rsid w:val="00703F34"/>
    <w:rsid w:val="00706064"/>
    <w:rsid w:val="0071588D"/>
    <w:rsid w:val="00717666"/>
    <w:rsid w:val="007274AC"/>
    <w:rsid w:val="00730416"/>
    <w:rsid w:val="0073142B"/>
    <w:rsid w:val="00736B9E"/>
    <w:rsid w:val="007379F1"/>
    <w:rsid w:val="00742A49"/>
    <w:rsid w:val="00743097"/>
    <w:rsid w:val="007441F9"/>
    <w:rsid w:val="00746AA6"/>
    <w:rsid w:val="00751049"/>
    <w:rsid w:val="00754A10"/>
    <w:rsid w:val="007563A0"/>
    <w:rsid w:val="0076639B"/>
    <w:rsid w:val="00773036"/>
    <w:rsid w:val="00775938"/>
    <w:rsid w:val="00775E63"/>
    <w:rsid w:val="00776D7D"/>
    <w:rsid w:val="0078514F"/>
    <w:rsid w:val="00790CCB"/>
    <w:rsid w:val="007A35A9"/>
    <w:rsid w:val="007A5BEF"/>
    <w:rsid w:val="007B1CEB"/>
    <w:rsid w:val="007B3BD9"/>
    <w:rsid w:val="007B78C7"/>
    <w:rsid w:val="007B7F7F"/>
    <w:rsid w:val="007D3323"/>
    <w:rsid w:val="007D507D"/>
    <w:rsid w:val="007D7225"/>
    <w:rsid w:val="007E327D"/>
    <w:rsid w:val="007E4D51"/>
    <w:rsid w:val="007F29FC"/>
    <w:rsid w:val="007F72D9"/>
    <w:rsid w:val="008048AD"/>
    <w:rsid w:val="00810B89"/>
    <w:rsid w:val="00815A40"/>
    <w:rsid w:val="00820E4A"/>
    <w:rsid w:val="008240A4"/>
    <w:rsid w:val="00824A6F"/>
    <w:rsid w:val="00827959"/>
    <w:rsid w:val="00831EC3"/>
    <w:rsid w:val="008337DF"/>
    <w:rsid w:val="00833B5A"/>
    <w:rsid w:val="00834237"/>
    <w:rsid w:val="00835FD3"/>
    <w:rsid w:val="00841B8A"/>
    <w:rsid w:val="008544B0"/>
    <w:rsid w:val="00854D9B"/>
    <w:rsid w:val="00860950"/>
    <w:rsid w:val="00862283"/>
    <w:rsid w:val="008636C8"/>
    <w:rsid w:val="00865856"/>
    <w:rsid w:val="00894D44"/>
    <w:rsid w:val="00896E5B"/>
    <w:rsid w:val="008A07D8"/>
    <w:rsid w:val="008A4155"/>
    <w:rsid w:val="008A6A40"/>
    <w:rsid w:val="008B50A5"/>
    <w:rsid w:val="008B694D"/>
    <w:rsid w:val="008C04E2"/>
    <w:rsid w:val="008C075A"/>
    <w:rsid w:val="008C1838"/>
    <w:rsid w:val="008C5C77"/>
    <w:rsid w:val="008E027B"/>
    <w:rsid w:val="008E0974"/>
    <w:rsid w:val="008E2CD5"/>
    <w:rsid w:val="008E3D0A"/>
    <w:rsid w:val="00901B64"/>
    <w:rsid w:val="00901F98"/>
    <w:rsid w:val="00902167"/>
    <w:rsid w:val="00903BF2"/>
    <w:rsid w:val="0090712D"/>
    <w:rsid w:val="0091046B"/>
    <w:rsid w:val="009204E1"/>
    <w:rsid w:val="00923596"/>
    <w:rsid w:val="00932210"/>
    <w:rsid w:val="00932296"/>
    <w:rsid w:val="00932CDC"/>
    <w:rsid w:val="009349B2"/>
    <w:rsid w:val="00934E36"/>
    <w:rsid w:val="00944545"/>
    <w:rsid w:val="00955D84"/>
    <w:rsid w:val="00957160"/>
    <w:rsid w:val="00964D8F"/>
    <w:rsid w:val="00971159"/>
    <w:rsid w:val="00976E4B"/>
    <w:rsid w:val="009776E3"/>
    <w:rsid w:val="0098424E"/>
    <w:rsid w:val="00990650"/>
    <w:rsid w:val="00992968"/>
    <w:rsid w:val="009946D8"/>
    <w:rsid w:val="00995C1E"/>
    <w:rsid w:val="00997F0B"/>
    <w:rsid w:val="009A0686"/>
    <w:rsid w:val="009A1623"/>
    <w:rsid w:val="009A394E"/>
    <w:rsid w:val="009A70EC"/>
    <w:rsid w:val="009C2B49"/>
    <w:rsid w:val="009D5863"/>
    <w:rsid w:val="009E14FA"/>
    <w:rsid w:val="009E2679"/>
    <w:rsid w:val="009E6651"/>
    <w:rsid w:val="009E6C21"/>
    <w:rsid w:val="009E6C76"/>
    <w:rsid w:val="00A07A77"/>
    <w:rsid w:val="00A12129"/>
    <w:rsid w:val="00A23217"/>
    <w:rsid w:val="00A25908"/>
    <w:rsid w:val="00A30FD8"/>
    <w:rsid w:val="00A40FC6"/>
    <w:rsid w:val="00A55D62"/>
    <w:rsid w:val="00A634DD"/>
    <w:rsid w:val="00A703ED"/>
    <w:rsid w:val="00AA3888"/>
    <w:rsid w:val="00AA5462"/>
    <w:rsid w:val="00AA5BBB"/>
    <w:rsid w:val="00AA62A1"/>
    <w:rsid w:val="00AB070D"/>
    <w:rsid w:val="00AB14DD"/>
    <w:rsid w:val="00AB4A49"/>
    <w:rsid w:val="00AB5868"/>
    <w:rsid w:val="00AC41C2"/>
    <w:rsid w:val="00AD03A0"/>
    <w:rsid w:val="00AE56FC"/>
    <w:rsid w:val="00AE7F00"/>
    <w:rsid w:val="00B01B66"/>
    <w:rsid w:val="00B0440D"/>
    <w:rsid w:val="00B06578"/>
    <w:rsid w:val="00B11578"/>
    <w:rsid w:val="00B13306"/>
    <w:rsid w:val="00B17965"/>
    <w:rsid w:val="00B236E1"/>
    <w:rsid w:val="00B30E63"/>
    <w:rsid w:val="00B333B1"/>
    <w:rsid w:val="00B37902"/>
    <w:rsid w:val="00B40097"/>
    <w:rsid w:val="00B4188F"/>
    <w:rsid w:val="00B43FCD"/>
    <w:rsid w:val="00B51241"/>
    <w:rsid w:val="00B51C4E"/>
    <w:rsid w:val="00B54735"/>
    <w:rsid w:val="00B54FC2"/>
    <w:rsid w:val="00B5710E"/>
    <w:rsid w:val="00B71189"/>
    <w:rsid w:val="00B72561"/>
    <w:rsid w:val="00B752A3"/>
    <w:rsid w:val="00B756EE"/>
    <w:rsid w:val="00B75C6A"/>
    <w:rsid w:val="00B80004"/>
    <w:rsid w:val="00B814E6"/>
    <w:rsid w:val="00B966F9"/>
    <w:rsid w:val="00BA0923"/>
    <w:rsid w:val="00BA1B6F"/>
    <w:rsid w:val="00BA2943"/>
    <w:rsid w:val="00BA4C01"/>
    <w:rsid w:val="00BA5DAB"/>
    <w:rsid w:val="00BA748F"/>
    <w:rsid w:val="00BB3F0E"/>
    <w:rsid w:val="00BB4034"/>
    <w:rsid w:val="00BB66AC"/>
    <w:rsid w:val="00BB770F"/>
    <w:rsid w:val="00BD1DBB"/>
    <w:rsid w:val="00BF09AF"/>
    <w:rsid w:val="00BF1318"/>
    <w:rsid w:val="00BF21D5"/>
    <w:rsid w:val="00BF2A4D"/>
    <w:rsid w:val="00C00CEF"/>
    <w:rsid w:val="00C01796"/>
    <w:rsid w:val="00C06A60"/>
    <w:rsid w:val="00C12DB0"/>
    <w:rsid w:val="00C145E3"/>
    <w:rsid w:val="00C14CA5"/>
    <w:rsid w:val="00C15528"/>
    <w:rsid w:val="00C15CE2"/>
    <w:rsid w:val="00C15E83"/>
    <w:rsid w:val="00C321DB"/>
    <w:rsid w:val="00C34526"/>
    <w:rsid w:val="00C36C3D"/>
    <w:rsid w:val="00C43354"/>
    <w:rsid w:val="00C4786B"/>
    <w:rsid w:val="00C565B7"/>
    <w:rsid w:val="00C6164F"/>
    <w:rsid w:val="00C6399B"/>
    <w:rsid w:val="00C6472E"/>
    <w:rsid w:val="00C80FE5"/>
    <w:rsid w:val="00C86713"/>
    <w:rsid w:val="00CA2FED"/>
    <w:rsid w:val="00CA7D14"/>
    <w:rsid w:val="00CB3310"/>
    <w:rsid w:val="00CB6386"/>
    <w:rsid w:val="00CC0F89"/>
    <w:rsid w:val="00CC28E7"/>
    <w:rsid w:val="00CD0717"/>
    <w:rsid w:val="00CD2BF9"/>
    <w:rsid w:val="00CD4EBF"/>
    <w:rsid w:val="00CD5AEC"/>
    <w:rsid w:val="00CE16BA"/>
    <w:rsid w:val="00CE211E"/>
    <w:rsid w:val="00CE5294"/>
    <w:rsid w:val="00CF1A2D"/>
    <w:rsid w:val="00CF42A1"/>
    <w:rsid w:val="00CF5230"/>
    <w:rsid w:val="00CF7A34"/>
    <w:rsid w:val="00D10183"/>
    <w:rsid w:val="00D109C9"/>
    <w:rsid w:val="00D11272"/>
    <w:rsid w:val="00D12A1D"/>
    <w:rsid w:val="00D17628"/>
    <w:rsid w:val="00D32875"/>
    <w:rsid w:val="00D45607"/>
    <w:rsid w:val="00D537A9"/>
    <w:rsid w:val="00D5483E"/>
    <w:rsid w:val="00D552CC"/>
    <w:rsid w:val="00D632F8"/>
    <w:rsid w:val="00D65A1E"/>
    <w:rsid w:val="00D72F17"/>
    <w:rsid w:val="00D752EF"/>
    <w:rsid w:val="00DA4349"/>
    <w:rsid w:val="00DA5FFD"/>
    <w:rsid w:val="00DB0D57"/>
    <w:rsid w:val="00DB1D1E"/>
    <w:rsid w:val="00DB30B4"/>
    <w:rsid w:val="00DB74A9"/>
    <w:rsid w:val="00DC1374"/>
    <w:rsid w:val="00DD072C"/>
    <w:rsid w:val="00DD3EA9"/>
    <w:rsid w:val="00DD416B"/>
    <w:rsid w:val="00DE0BEB"/>
    <w:rsid w:val="00DE384B"/>
    <w:rsid w:val="00DE64C7"/>
    <w:rsid w:val="00DF15DC"/>
    <w:rsid w:val="00E01344"/>
    <w:rsid w:val="00E0642B"/>
    <w:rsid w:val="00E064CD"/>
    <w:rsid w:val="00E10A00"/>
    <w:rsid w:val="00E1412E"/>
    <w:rsid w:val="00E20209"/>
    <w:rsid w:val="00E25335"/>
    <w:rsid w:val="00E3014D"/>
    <w:rsid w:val="00E339F9"/>
    <w:rsid w:val="00E42120"/>
    <w:rsid w:val="00E4563A"/>
    <w:rsid w:val="00E463F1"/>
    <w:rsid w:val="00E56934"/>
    <w:rsid w:val="00E5747A"/>
    <w:rsid w:val="00E6404E"/>
    <w:rsid w:val="00E64377"/>
    <w:rsid w:val="00E72241"/>
    <w:rsid w:val="00E73747"/>
    <w:rsid w:val="00E73847"/>
    <w:rsid w:val="00E80B3C"/>
    <w:rsid w:val="00E92722"/>
    <w:rsid w:val="00E92C8B"/>
    <w:rsid w:val="00EA512E"/>
    <w:rsid w:val="00EB0E51"/>
    <w:rsid w:val="00EB29D5"/>
    <w:rsid w:val="00EB2B68"/>
    <w:rsid w:val="00EB7689"/>
    <w:rsid w:val="00EB7D2E"/>
    <w:rsid w:val="00EC1E91"/>
    <w:rsid w:val="00EC2B28"/>
    <w:rsid w:val="00EC31D0"/>
    <w:rsid w:val="00ED0374"/>
    <w:rsid w:val="00ED1972"/>
    <w:rsid w:val="00ED3B45"/>
    <w:rsid w:val="00F1138E"/>
    <w:rsid w:val="00F12E58"/>
    <w:rsid w:val="00F25E67"/>
    <w:rsid w:val="00F33AC0"/>
    <w:rsid w:val="00F3575C"/>
    <w:rsid w:val="00F37728"/>
    <w:rsid w:val="00F3778E"/>
    <w:rsid w:val="00F37F20"/>
    <w:rsid w:val="00F44D7D"/>
    <w:rsid w:val="00F46B60"/>
    <w:rsid w:val="00F52877"/>
    <w:rsid w:val="00F53687"/>
    <w:rsid w:val="00F54C3B"/>
    <w:rsid w:val="00F552F2"/>
    <w:rsid w:val="00F70E33"/>
    <w:rsid w:val="00F714BB"/>
    <w:rsid w:val="00F7302F"/>
    <w:rsid w:val="00F7700F"/>
    <w:rsid w:val="00F8099E"/>
    <w:rsid w:val="00F813A7"/>
    <w:rsid w:val="00F823A8"/>
    <w:rsid w:val="00F91441"/>
    <w:rsid w:val="00FA0041"/>
    <w:rsid w:val="00FA4B5A"/>
    <w:rsid w:val="00FB0C45"/>
    <w:rsid w:val="00FB1987"/>
    <w:rsid w:val="00FB6A61"/>
    <w:rsid w:val="00FC3571"/>
    <w:rsid w:val="00FC41A2"/>
    <w:rsid w:val="00FD1A55"/>
    <w:rsid w:val="00FD3A0E"/>
    <w:rsid w:val="00FD41E5"/>
    <w:rsid w:val="00FD64C2"/>
    <w:rsid w:val="00FE3F2F"/>
    <w:rsid w:val="00FE4D21"/>
    <w:rsid w:val="00FF38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64F51"/>
  <w15:chartTrackingRefBased/>
  <w15:docId w15:val="{283B57CB-5C62-4610-8ABA-FD91034F5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next w:val="Normal"/>
    <w:link w:val="Titre3Car"/>
    <w:uiPriority w:val="9"/>
    <w:unhideWhenUsed/>
    <w:qFormat/>
    <w:rsid w:val="004D190B"/>
    <w:pPr>
      <w:keepNext/>
      <w:keepLines/>
      <w:spacing w:before="40" w:line="259" w:lineRule="auto"/>
      <w:jc w:val="left"/>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94574"/>
    <w:pPr>
      <w:ind w:left="720"/>
      <w:contextualSpacing/>
    </w:pPr>
  </w:style>
  <w:style w:type="paragraph" w:styleId="Lgende">
    <w:name w:val="caption"/>
    <w:basedOn w:val="Normal"/>
    <w:next w:val="Normal"/>
    <w:uiPriority w:val="35"/>
    <w:unhideWhenUsed/>
    <w:qFormat/>
    <w:rsid w:val="00236D0D"/>
    <w:pPr>
      <w:spacing w:after="200" w:line="240" w:lineRule="auto"/>
      <w:jc w:val="left"/>
    </w:pPr>
    <w:rPr>
      <w:rFonts w:ascii="Times New Roman" w:hAnsi="Times New Roman" w:cs="Times New Roman"/>
      <w:i/>
      <w:iCs/>
      <w:color w:val="44546A" w:themeColor="text2"/>
      <w:sz w:val="18"/>
      <w:szCs w:val="18"/>
    </w:rPr>
  </w:style>
  <w:style w:type="table" w:styleId="Tableausimple2">
    <w:name w:val="Plain Table 2"/>
    <w:basedOn w:val="TableauNormal"/>
    <w:uiPriority w:val="42"/>
    <w:rsid w:val="000754C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iPriority w:val="99"/>
    <w:semiHidden/>
    <w:unhideWhenUsed/>
    <w:rsid w:val="00064084"/>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B01B66"/>
    <w:rPr>
      <w:color w:val="0563C1" w:themeColor="hyperlink"/>
      <w:u w:val="single"/>
    </w:rPr>
  </w:style>
  <w:style w:type="paragraph" w:styleId="En-tte">
    <w:name w:val="header"/>
    <w:basedOn w:val="Normal"/>
    <w:link w:val="En-tteCar"/>
    <w:uiPriority w:val="99"/>
    <w:unhideWhenUsed/>
    <w:rsid w:val="009204E1"/>
    <w:pPr>
      <w:tabs>
        <w:tab w:val="center" w:pos="4536"/>
        <w:tab w:val="right" w:pos="9072"/>
      </w:tabs>
      <w:spacing w:line="240" w:lineRule="auto"/>
    </w:pPr>
  </w:style>
  <w:style w:type="character" w:customStyle="1" w:styleId="En-tteCar">
    <w:name w:val="En-tête Car"/>
    <w:basedOn w:val="Policepardfaut"/>
    <w:link w:val="En-tte"/>
    <w:uiPriority w:val="99"/>
    <w:rsid w:val="009204E1"/>
  </w:style>
  <w:style w:type="paragraph" w:styleId="Pieddepage">
    <w:name w:val="footer"/>
    <w:basedOn w:val="Normal"/>
    <w:link w:val="PieddepageCar"/>
    <w:uiPriority w:val="99"/>
    <w:unhideWhenUsed/>
    <w:rsid w:val="009204E1"/>
    <w:pPr>
      <w:tabs>
        <w:tab w:val="center" w:pos="4536"/>
        <w:tab w:val="right" w:pos="9072"/>
      </w:tabs>
      <w:spacing w:line="240" w:lineRule="auto"/>
    </w:pPr>
  </w:style>
  <w:style w:type="character" w:customStyle="1" w:styleId="PieddepageCar">
    <w:name w:val="Pied de page Car"/>
    <w:basedOn w:val="Policepardfaut"/>
    <w:link w:val="Pieddepage"/>
    <w:uiPriority w:val="99"/>
    <w:rsid w:val="009204E1"/>
  </w:style>
  <w:style w:type="paragraph" w:styleId="Textedebulles">
    <w:name w:val="Balloon Text"/>
    <w:basedOn w:val="Normal"/>
    <w:link w:val="TextedebullesCar"/>
    <w:uiPriority w:val="99"/>
    <w:semiHidden/>
    <w:unhideWhenUsed/>
    <w:rsid w:val="008C1838"/>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C1838"/>
    <w:rPr>
      <w:rFonts w:ascii="Segoe UI" w:hAnsi="Segoe UI" w:cs="Segoe UI"/>
      <w:sz w:val="18"/>
      <w:szCs w:val="18"/>
    </w:rPr>
  </w:style>
  <w:style w:type="character" w:styleId="Marquedecommentaire">
    <w:name w:val="annotation reference"/>
    <w:basedOn w:val="Policepardfaut"/>
    <w:uiPriority w:val="99"/>
    <w:semiHidden/>
    <w:unhideWhenUsed/>
    <w:rsid w:val="008C1838"/>
    <w:rPr>
      <w:sz w:val="16"/>
      <w:szCs w:val="16"/>
    </w:rPr>
  </w:style>
  <w:style w:type="paragraph" w:styleId="Commentaire">
    <w:name w:val="annotation text"/>
    <w:basedOn w:val="Normal"/>
    <w:link w:val="CommentaireCar"/>
    <w:uiPriority w:val="99"/>
    <w:semiHidden/>
    <w:unhideWhenUsed/>
    <w:rsid w:val="008C1838"/>
    <w:pPr>
      <w:spacing w:line="240" w:lineRule="auto"/>
    </w:pPr>
    <w:rPr>
      <w:sz w:val="20"/>
      <w:szCs w:val="20"/>
    </w:rPr>
  </w:style>
  <w:style w:type="character" w:customStyle="1" w:styleId="CommentaireCar">
    <w:name w:val="Commentaire Car"/>
    <w:basedOn w:val="Policepardfaut"/>
    <w:link w:val="Commentaire"/>
    <w:uiPriority w:val="99"/>
    <w:semiHidden/>
    <w:rsid w:val="008C1838"/>
    <w:rPr>
      <w:sz w:val="20"/>
      <w:szCs w:val="20"/>
    </w:rPr>
  </w:style>
  <w:style w:type="paragraph" w:styleId="Objetducommentaire">
    <w:name w:val="annotation subject"/>
    <w:basedOn w:val="Commentaire"/>
    <w:next w:val="Commentaire"/>
    <w:link w:val="ObjetducommentaireCar"/>
    <w:uiPriority w:val="99"/>
    <w:semiHidden/>
    <w:unhideWhenUsed/>
    <w:rsid w:val="008C1838"/>
    <w:rPr>
      <w:b/>
      <w:bCs/>
    </w:rPr>
  </w:style>
  <w:style w:type="character" w:customStyle="1" w:styleId="ObjetducommentaireCar">
    <w:name w:val="Objet du commentaire Car"/>
    <w:basedOn w:val="CommentaireCar"/>
    <w:link w:val="Objetducommentaire"/>
    <w:uiPriority w:val="99"/>
    <w:semiHidden/>
    <w:rsid w:val="008C1838"/>
    <w:rPr>
      <w:b/>
      <w:bCs/>
      <w:sz w:val="20"/>
      <w:szCs w:val="20"/>
    </w:rPr>
  </w:style>
  <w:style w:type="paragraph" w:styleId="PrformatHTML">
    <w:name w:val="HTML Preformatted"/>
    <w:basedOn w:val="Normal"/>
    <w:link w:val="PrformatHTMLCar"/>
    <w:uiPriority w:val="99"/>
    <w:unhideWhenUsed/>
    <w:rsid w:val="007B1C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7B1CEB"/>
    <w:rPr>
      <w:rFonts w:ascii="Courier New" w:eastAsia="Times New Roman" w:hAnsi="Courier New" w:cs="Courier New"/>
      <w:sz w:val="20"/>
      <w:szCs w:val="20"/>
      <w:lang w:eastAsia="fr-FR"/>
    </w:rPr>
  </w:style>
  <w:style w:type="character" w:customStyle="1" w:styleId="Titre3Car">
    <w:name w:val="Titre 3 Car"/>
    <w:basedOn w:val="Policepardfaut"/>
    <w:link w:val="Titre3"/>
    <w:uiPriority w:val="9"/>
    <w:rsid w:val="004D190B"/>
    <w:rPr>
      <w:rFonts w:asciiTheme="majorHAnsi" w:eastAsiaTheme="majorEastAsia" w:hAnsiTheme="majorHAnsi" w:cstheme="majorBidi"/>
      <w:color w:val="1F4D78" w:themeColor="accent1" w:themeShade="7F"/>
      <w:sz w:val="24"/>
      <w:szCs w:val="24"/>
    </w:rPr>
  </w:style>
  <w:style w:type="paragraph" w:styleId="Notedebasdepage">
    <w:name w:val="footnote text"/>
    <w:basedOn w:val="Normal"/>
    <w:link w:val="NotedebasdepageCar"/>
    <w:uiPriority w:val="99"/>
    <w:semiHidden/>
    <w:unhideWhenUsed/>
    <w:rsid w:val="0002689F"/>
    <w:pPr>
      <w:spacing w:line="240" w:lineRule="auto"/>
    </w:pPr>
    <w:rPr>
      <w:sz w:val="20"/>
      <w:szCs w:val="20"/>
    </w:rPr>
  </w:style>
  <w:style w:type="character" w:customStyle="1" w:styleId="NotedebasdepageCar">
    <w:name w:val="Note de bas de page Car"/>
    <w:basedOn w:val="Policepardfaut"/>
    <w:link w:val="Notedebasdepage"/>
    <w:uiPriority w:val="99"/>
    <w:semiHidden/>
    <w:rsid w:val="0002689F"/>
    <w:rPr>
      <w:sz w:val="20"/>
      <w:szCs w:val="20"/>
    </w:rPr>
  </w:style>
  <w:style w:type="character" w:styleId="Appelnotedebasdep">
    <w:name w:val="footnote reference"/>
    <w:basedOn w:val="Policepardfaut"/>
    <w:uiPriority w:val="99"/>
    <w:semiHidden/>
    <w:unhideWhenUsed/>
    <w:rsid w:val="000268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34940">
      <w:bodyDiv w:val="1"/>
      <w:marLeft w:val="0"/>
      <w:marRight w:val="0"/>
      <w:marTop w:val="0"/>
      <w:marBottom w:val="0"/>
      <w:divBdr>
        <w:top w:val="none" w:sz="0" w:space="0" w:color="auto"/>
        <w:left w:val="none" w:sz="0" w:space="0" w:color="auto"/>
        <w:bottom w:val="none" w:sz="0" w:space="0" w:color="auto"/>
        <w:right w:val="none" w:sz="0" w:space="0" w:color="auto"/>
      </w:divBdr>
    </w:div>
    <w:div w:id="359091600">
      <w:bodyDiv w:val="1"/>
      <w:marLeft w:val="0"/>
      <w:marRight w:val="0"/>
      <w:marTop w:val="0"/>
      <w:marBottom w:val="0"/>
      <w:divBdr>
        <w:top w:val="none" w:sz="0" w:space="0" w:color="auto"/>
        <w:left w:val="none" w:sz="0" w:space="0" w:color="auto"/>
        <w:bottom w:val="none" w:sz="0" w:space="0" w:color="auto"/>
        <w:right w:val="none" w:sz="0" w:space="0" w:color="auto"/>
      </w:divBdr>
    </w:div>
    <w:div w:id="1086422234">
      <w:bodyDiv w:val="1"/>
      <w:marLeft w:val="0"/>
      <w:marRight w:val="0"/>
      <w:marTop w:val="0"/>
      <w:marBottom w:val="0"/>
      <w:divBdr>
        <w:top w:val="none" w:sz="0" w:space="0" w:color="auto"/>
        <w:left w:val="none" w:sz="0" w:space="0" w:color="auto"/>
        <w:bottom w:val="none" w:sz="0" w:space="0" w:color="auto"/>
        <w:right w:val="none" w:sz="0" w:space="0" w:color="auto"/>
      </w:divBdr>
    </w:div>
    <w:div w:id="1247686913">
      <w:bodyDiv w:val="1"/>
      <w:marLeft w:val="0"/>
      <w:marRight w:val="0"/>
      <w:marTop w:val="0"/>
      <w:marBottom w:val="0"/>
      <w:divBdr>
        <w:top w:val="none" w:sz="0" w:space="0" w:color="auto"/>
        <w:left w:val="none" w:sz="0" w:space="0" w:color="auto"/>
        <w:bottom w:val="none" w:sz="0" w:space="0" w:color="auto"/>
        <w:right w:val="none" w:sz="0" w:space="0" w:color="auto"/>
      </w:divBdr>
    </w:div>
    <w:div w:id="1402871183">
      <w:bodyDiv w:val="1"/>
      <w:marLeft w:val="0"/>
      <w:marRight w:val="0"/>
      <w:marTop w:val="0"/>
      <w:marBottom w:val="0"/>
      <w:divBdr>
        <w:top w:val="none" w:sz="0" w:space="0" w:color="auto"/>
        <w:left w:val="none" w:sz="0" w:space="0" w:color="auto"/>
        <w:bottom w:val="none" w:sz="0" w:space="0" w:color="auto"/>
        <w:right w:val="none" w:sz="0" w:space="0" w:color="auto"/>
      </w:divBdr>
      <w:divsChild>
        <w:div w:id="581765597">
          <w:marLeft w:val="547"/>
          <w:marRight w:val="0"/>
          <w:marTop w:val="0"/>
          <w:marBottom w:val="0"/>
          <w:divBdr>
            <w:top w:val="none" w:sz="0" w:space="0" w:color="auto"/>
            <w:left w:val="none" w:sz="0" w:space="0" w:color="auto"/>
            <w:bottom w:val="none" w:sz="0" w:space="0" w:color="auto"/>
            <w:right w:val="none" w:sz="0" w:space="0" w:color="auto"/>
          </w:divBdr>
        </w:div>
        <w:div w:id="1955281722">
          <w:marLeft w:val="547"/>
          <w:marRight w:val="0"/>
          <w:marTop w:val="0"/>
          <w:marBottom w:val="0"/>
          <w:divBdr>
            <w:top w:val="none" w:sz="0" w:space="0" w:color="auto"/>
            <w:left w:val="none" w:sz="0" w:space="0" w:color="auto"/>
            <w:bottom w:val="none" w:sz="0" w:space="0" w:color="auto"/>
            <w:right w:val="none" w:sz="0" w:space="0" w:color="auto"/>
          </w:divBdr>
        </w:div>
        <w:div w:id="553469397">
          <w:marLeft w:val="547"/>
          <w:marRight w:val="0"/>
          <w:marTop w:val="0"/>
          <w:marBottom w:val="0"/>
          <w:divBdr>
            <w:top w:val="none" w:sz="0" w:space="0" w:color="auto"/>
            <w:left w:val="none" w:sz="0" w:space="0" w:color="auto"/>
            <w:bottom w:val="none" w:sz="0" w:space="0" w:color="auto"/>
            <w:right w:val="none" w:sz="0" w:space="0" w:color="auto"/>
          </w:divBdr>
        </w:div>
        <w:div w:id="218442891">
          <w:marLeft w:val="547"/>
          <w:marRight w:val="0"/>
          <w:marTop w:val="0"/>
          <w:marBottom w:val="0"/>
          <w:divBdr>
            <w:top w:val="none" w:sz="0" w:space="0" w:color="auto"/>
            <w:left w:val="none" w:sz="0" w:space="0" w:color="auto"/>
            <w:bottom w:val="none" w:sz="0" w:space="0" w:color="auto"/>
            <w:right w:val="none" w:sz="0" w:space="0" w:color="auto"/>
          </w:divBdr>
        </w:div>
      </w:divsChild>
    </w:div>
    <w:div w:id="1488010480">
      <w:bodyDiv w:val="1"/>
      <w:marLeft w:val="0"/>
      <w:marRight w:val="0"/>
      <w:marTop w:val="0"/>
      <w:marBottom w:val="0"/>
      <w:divBdr>
        <w:top w:val="none" w:sz="0" w:space="0" w:color="auto"/>
        <w:left w:val="none" w:sz="0" w:space="0" w:color="auto"/>
        <w:bottom w:val="none" w:sz="0" w:space="0" w:color="auto"/>
        <w:right w:val="none" w:sz="0" w:space="0" w:color="auto"/>
      </w:divBdr>
    </w:div>
    <w:div w:id="169707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cfpub.epa.gov/ecoto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delaoued@hotmail.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FD9D3-CFA3-4878-86B5-3BC0DC3F7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4773</Words>
  <Characters>26252</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Poda-PC</dc:creator>
  <cp:keywords/>
  <dc:description/>
  <cp:lastModifiedBy>JUPITER</cp:lastModifiedBy>
  <cp:revision>3</cp:revision>
  <dcterms:created xsi:type="dcterms:W3CDTF">2020-12-03T08:31:00Z</dcterms:created>
  <dcterms:modified xsi:type="dcterms:W3CDTF">2020-12-10T10:31:00Z</dcterms:modified>
</cp:coreProperties>
</file>